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B" w:rsidRDefault="002619B6" w:rsidP="00E73B2B">
      <w:pPr>
        <w:spacing w:line="560" w:lineRule="exact"/>
        <w:ind w:firstLine="0"/>
        <w:jc w:val="left"/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E73B2B" w:rsidRDefault="00E73B2B" w:rsidP="00E73B2B">
      <w:pPr>
        <w:spacing w:line="560" w:lineRule="exact"/>
        <w:ind w:firstLine="896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2023年度部门整体支出绩效评价基础</w:t>
      </w:r>
    </w:p>
    <w:p w:rsidR="00382F88" w:rsidRDefault="00E73B2B" w:rsidP="00E73B2B">
      <w:pPr>
        <w:pStyle w:val="a4"/>
        <w:jc w:val="center"/>
        <w:rPr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382F88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财政供养人员情况</w:t>
            </w:r>
            <w:r>
              <w:rPr>
                <w:rFonts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382F88" w:rsidRDefault="002619B6" w:rsidP="009F360C">
            <w:r>
              <w:rPr>
                <w:rFonts w:hint="eastAsia"/>
              </w:rPr>
              <w:t>202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</w:rPr>
              <w:t>年实际在职</w:t>
            </w:r>
          </w:p>
          <w:p w:rsidR="00382F88" w:rsidRDefault="002619B6" w:rsidP="009F360C">
            <w:r>
              <w:rPr>
                <w:rFonts w:ascii="宋体" w:eastAsia="宋体" w:hAnsi="宋体" w:cs="宋体" w:hint="eastAsia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控制率</w:t>
            </w:r>
          </w:p>
        </w:tc>
      </w:tr>
      <w:tr w:rsidR="00382F88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382F88" w:rsidRDefault="00382F88" w:rsidP="009F360C"/>
        </w:tc>
        <w:tc>
          <w:tcPr>
            <w:tcW w:w="2116" w:type="dxa"/>
            <w:gridSpan w:val="2"/>
            <w:vAlign w:val="center"/>
          </w:tcPr>
          <w:p w:rsidR="00382F88" w:rsidRDefault="009F360C" w:rsidP="009F36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281</w:t>
            </w:r>
          </w:p>
        </w:tc>
        <w:tc>
          <w:tcPr>
            <w:tcW w:w="2039" w:type="dxa"/>
            <w:gridSpan w:val="2"/>
            <w:vAlign w:val="center"/>
          </w:tcPr>
          <w:p w:rsidR="00382F88" w:rsidRDefault="009F360C" w:rsidP="009F36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281</w:t>
            </w:r>
          </w:p>
        </w:tc>
        <w:tc>
          <w:tcPr>
            <w:tcW w:w="1983" w:type="dxa"/>
            <w:gridSpan w:val="2"/>
            <w:vAlign w:val="center"/>
          </w:tcPr>
          <w:p w:rsidR="00382F88" w:rsidRDefault="009F360C" w:rsidP="009F36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:rsidR="00382F88">
        <w:trPr>
          <w:trHeight w:val="359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经费控制情况</w:t>
            </w:r>
            <w:r>
              <w:rPr>
                <w:rFonts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2619B6" w:rsidP="009F360C">
            <w:r>
              <w:rPr>
                <w:rFonts w:hint="eastAsia"/>
              </w:rPr>
              <w:t>202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382F88" w:rsidRDefault="002619B6" w:rsidP="009F360C">
            <w:r>
              <w:rPr>
                <w:rFonts w:hint="eastAsia"/>
              </w:rPr>
              <w:t>202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382F88" w:rsidRDefault="002619B6" w:rsidP="009F360C">
            <w:r>
              <w:rPr>
                <w:rFonts w:hint="eastAsia"/>
              </w:rPr>
              <w:t>202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</w:rPr>
              <w:t>年决算数</w:t>
            </w:r>
          </w:p>
        </w:tc>
      </w:tr>
      <w:tr w:rsidR="00382F88">
        <w:trPr>
          <w:trHeight w:val="369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lang w:eastAsia="zh-CN"/>
              </w:rPr>
              <w:t>“</w:t>
            </w:r>
            <w:r>
              <w:rPr>
                <w:rFonts w:ascii="宋体" w:eastAsia="宋体" w:hAnsi="宋体" w:cs="宋体" w:hint="eastAsia"/>
              </w:rPr>
              <w:t>三公</w:t>
            </w:r>
            <w:r>
              <w:rPr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9F360C" w:rsidP="009F36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5.41</w:t>
            </w:r>
          </w:p>
        </w:tc>
        <w:tc>
          <w:tcPr>
            <w:tcW w:w="2039" w:type="dxa"/>
            <w:gridSpan w:val="2"/>
            <w:vAlign w:val="center"/>
          </w:tcPr>
          <w:p w:rsidR="00382F88" w:rsidRDefault="009F360C" w:rsidP="009F36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82F88" w:rsidRDefault="009F360C" w:rsidP="009F36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5.41</w:t>
            </w:r>
          </w:p>
        </w:tc>
      </w:tr>
      <w:tr w:rsidR="00382F88">
        <w:trPr>
          <w:trHeight w:val="350"/>
        </w:trPr>
        <w:tc>
          <w:tcPr>
            <w:tcW w:w="3271" w:type="dxa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382F88">
        <w:trPr>
          <w:trHeight w:val="370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382F88">
        <w:trPr>
          <w:trHeight w:val="350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382F88">
        <w:trPr>
          <w:trHeight w:val="369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382F88">
        <w:trPr>
          <w:trHeight w:val="340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5.41</w:t>
            </w:r>
          </w:p>
        </w:tc>
        <w:tc>
          <w:tcPr>
            <w:tcW w:w="2039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382F88" w:rsidRPr="009F360C" w:rsidRDefault="009F360C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5.41</w:t>
            </w:r>
          </w:p>
        </w:tc>
      </w:tr>
      <w:tr w:rsidR="00382F88">
        <w:trPr>
          <w:trHeight w:val="350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382F88" w:rsidP="009F360C"/>
        </w:tc>
        <w:tc>
          <w:tcPr>
            <w:tcW w:w="2039" w:type="dxa"/>
            <w:gridSpan w:val="2"/>
            <w:vAlign w:val="center"/>
          </w:tcPr>
          <w:p w:rsidR="00382F88" w:rsidRDefault="00382F88" w:rsidP="009F360C"/>
        </w:tc>
        <w:tc>
          <w:tcPr>
            <w:tcW w:w="1983" w:type="dxa"/>
            <w:gridSpan w:val="2"/>
            <w:vAlign w:val="center"/>
          </w:tcPr>
          <w:p w:rsidR="00382F88" w:rsidRDefault="00382F88" w:rsidP="009F360C"/>
        </w:tc>
      </w:tr>
      <w:tr w:rsidR="00382F88">
        <w:trPr>
          <w:trHeight w:val="359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382F88" w:rsidP="009F360C"/>
        </w:tc>
        <w:tc>
          <w:tcPr>
            <w:tcW w:w="2039" w:type="dxa"/>
            <w:gridSpan w:val="2"/>
            <w:vAlign w:val="center"/>
          </w:tcPr>
          <w:p w:rsidR="00382F88" w:rsidRDefault="00382F88" w:rsidP="009F360C"/>
        </w:tc>
        <w:tc>
          <w:tcPr>
            <w:tcW w:w="1983" w:type="dxa"/>
            <w:gridSpan w:val="2"/>
            <w:vAlign w:val="center"/>
          </w:tcPr>
          <w:p w:rsidR="00382F88" w:rsidRDefault="00382F88" w:rsidP="009F360C"/>
        </w:tc>
      </w:tr>
      <w:tr w:rsidR="00382F88">
        <w:trPr>
          <w:trHeight w:val="359"/>
        </w:trPr>
        <w:tc>
          <w:tcPr>
            <w:tcW w:w="3271" w:type="dxa"/>
            <w:vAlign w:val="center"/>
          </w:tcPr>
          <w:p w:rsidR="00382F88" w:rsidRDefault="002619B6" w:rsidP="009F360C">
            <w:r>
              <w:rPr>
                <w:rFonts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382F88" w:rsidP="009F360C"/>
        </w:tc>
        <w:tc>
          <w:tcPr>
            <w:tcW w:w="2039" w:type="dxa"/>
            <w:gridSpan w:val="2"/>
            <w:vAlign w:val="center"/>
          </w:tcPr>
          <w:p w:rsidR="00382F88" w:rsidRDefault="00382F88" w:rsidP="009F360C"/>
        </w:tc>
        <w:tc>
          <w:tcPr>
            <w:tcW w:w="1983" w:type="dxa"/>
            <w:gridSpan w:val="2"/>
            <w:vAlign w:val="center"/>
          </w:tcPr>
          <w:p w:rsidR="00382F88" w:rsidRDefault="00382F88" w:rsidP="009F360C"/>
        </w:tc>
      </w:tr>
      <w:tr w:rsidR="00382F88">
        <w:trPr>
          <w:trHeight w:val="359"/>
        </w:trPr>
        <w:tc>
          <w:tcPr>
            <w:tcW w:w="3271" w:type="dxa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lang w:eastAsia="zh-CN"/>
              </w:rPr>
              <w:t>、县级专项资金</w:t>
            </w:r>
          </w:p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lang w:eastAsia="zh-CN"/>
              </w:rPr>
              <w:t>一个专项一行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382F88" w:rsidRDefault="00382F88" w:rsidP="009F360C">
            <w:pPr>
              <w:rPr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82F88" w:rsidRDefault="00382F88" w:rsidP="009F360C">
            <w:pPr>
              <w:rPr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82F88" w:rsidRDefault="00382F88" w:rsidP="009F360C">
            <w:pPr>
              <w:rPr>
                <w:lang w:eastAsia="zh-CN"/>
              </w:rPr>
            </w:pPr>
          </w:p>
        </w:tc>
      </w:tr>
      <w:tr w:rsidR="0064725D">
        <w:trPr>
          <w:trHeight w:val="350"/>
        </w:trPr>
        <w:tc>
          <w:tcPr>
            <w:tcW w:w="3271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64725D" w:rsidRDefault="0064725D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557.87</w:t>
            </w:r>
          </w:p>
        </w:tc>
        <w:tc>
          <w:tcPr>
            <w:tcW w:w="2039" w:type="dxa"/>
            <w:gridSpan w:val="2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1000</w:t>
            </w:r>
          </w:p>
        </w:tc>
        <w:tc>
          <w:tcPr>
            <w:tcW w:w="1983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1029.74</w:t>
            </w:r>
          </w:p>
        </w:tc>
      </w:tr>
      <w:tr w:rsidR="0064725D">
        <w:trPr>
          <w:trHeight w:val="350"/>
        </w:trPr>
        <w:tc>
          <w:tcPr>
            <w:tcW w:w="3271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64725D" w:rsidRDefault="0064725D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40</w:t>
            </w:r>
          </w:p>
        </w:tc>
        <w:tc>
          <w:tcPr>
            <w:tcW w:w="1983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43.65</w:t>
            </w:r>
          </w:p>
        </w:tc>
      </w:tr>
      <w:tr w:rsidR="0064725D">
        <w:trPr>
          <w:trHeight w:val="360"/>
        </w:trPr>
        <w:tc>
          <w:tcPr>
            <w:tcW w:w="3271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64725D" w:rsidRDefault="0064725D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41</w:t>
            </w:r>
          </w:p>
        </w:tc>
        <w:tc>
          <w:tcPr>
            <w:tcW w:w="2039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</w:t>
            </w:r>
          </w:p>
        </w:tc>
        <w:tc>
          <w:tcPr>
            <w:tcW w:w="1983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190.77</w:t>
            </w:r>
          </w:p>
        </w:tc>
      </w:tr>
      <w:tr w:rsidR="0064725D">
        <w:trPr>
          <w:trHeight w:val="350"/>
        </w:trPr>
        <w:tc>
          <w:tcPr>
            <w:tcW w:w="3271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14.16</w:t>
            </w:r>
          </w:p>
        </w:tc>
        <w:tc>
          <w:tcPr>
            <w:tcW w:w="2039" w:type="dxa"/>
            <w:gridSpan w:val="2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1983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16.15</w:t>
            </w:r>
          </w:p>
        </w:tc>
      </w:tr>
      <w:tr w:rsidR="0064725D">
        <w:trPr>
          <w:trHeight w:val="350"/>
        </w:trPr>
        <w:tc>
          <w:tcPr>
            <w:tcW w:w="3271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325</w:t>
            </w:r>
          </w:p>
        </w:tc>
        <w:tc>
          <w:tcPr>
            <w:tcW w:w="2039" w:type="dxa"/>
            <w:gridSpan w:val="2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400</w:t>
            </w:r>
          </w:p>
        </w:tc>
        <w:tc>
          <w:tcPr>
            <w:tcW w:w="1983" w:type="dxa"/>
            <w:gridSpan w:val="2"/>
            <w:vAlign w:val="center"/>
          </w:tcPr>
          <w:p w:rsidR="0064725D" w:rsidRPr="0064725D" w:rsidRDefault="0064725D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369.97</w:t>
            </w:r>
          </w:p>
        </w:tc>
      </w:tr>
      <w:tr w:rsidR="0064725D">
        <w:trPr>
          <w:trHeight w:val="369"/>
        </w:trPr>
        <w:tc>
          <w:tcPr>
            <w:tcW w:w="3271" w:type="dxa"/>
            <w:vAlign w:val="center"/>
          </w:tcPr>
          <w:p w:rsidR="0064725D" w:rsidRDefault="0064725D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64725D" w:rsidRDefault="0064725D" w:rsidP="009F360C">
            <w:pPr>
              <w:rPr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64725D" w:rsidRDefault="0064725D" w:rsidP="009F360C">
            <w:pPr>
              <w:rPr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64725D" w:rsidRDefault="0064725D" w:rsidP="009F360C">
            <w:pPr>
              <w:rPr>
                <w:lang w:eastAsia="zh-CN"/>
              </w:rPr>
            </w:pPr>
          </w:p>
        </w:tc>
      </w:tr>
      <w:tr w:rsidR="0064725D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64725D" w:rsidRDefault="0064725D" w:rsidP="009F360C">
            <w:pPr>
              <w:rPr>
                <w:lang w:eastAsia="zh-CN"/>
              </w:rPr>
            </w:pPr>
          </w:p>
          <w:p w:rsidR="0064725D" w:rsidRDefault="0064725D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楼堂馆所控制情况</w:t>
            </w:r>
          </w:p>
          <w:p w:rsidR="0064725D" w:rsidRDefault="0064725D" w:rsidP="009F36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(2023</w:t>
            </w:r>
            <w:r>
              <w:rPr>
                <w:rFonts w:ascii="宋体" w:eastAsia="宋体" w:hAnsi="宋体" w:cs="宋体" w:hint="eastAsia"/>
                <w:lang w:eastAsia="zh-CN"/>
              </w:rPr>
              <w:t>年完工项目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批复规模</w:t>
            </w:r>
            <w:r>
              <w:rPr>
                <w:rFonts w:hint="eastAsia"/>
              </w:rPr>
              <w:t xml:space="preserve"> (m²)</w:t>
            </w:r>
          </w:p>
        </w:tc>
        <w:tc>
          <w:tcPr>
            <w:tcW w:w="958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实际规模</w:t>
            </w:r>
            <w:r>
              <w:rPr>
                <w:rFonts w:hint="eastAsia"/>
              </w:rPr>
              <w:t>(m²)</w:t>
            </w:r>
          </w:p>
        </w:tc>
        <w:tc>
          <w:tcPr>
            <w:tcW w:w="960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预算投资</w:t>
            </w:r>
          </w:p>
          <w:p w:rsidR="0064725D" w:rsidRDefault="0064725D" w:rsidP="009F360C">
            <w:r>
              <w:rPr>
                <w:rFonts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</w:rPr>
              <w:t>实际投资</w:t>
            </w:r>
            <w:r>
              <w:rPr>
                <w:rFonts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64725D" w:rsidRDefault="0064725D" w:rsidP="009F360C">
            <w:r>
              <w:rPr>
                <w:rFonts w:ascii="宋体" w:eastAsia="宋体" w:hAnsi="宋体" w:cs="宋体" w:hint="eastAsia"/>
                <w:lang w:eastAsia="zh-CN"/>
              </w:rPr>
              <w:t>投</w:t>
            </w:r>
            <w:r>
              <w:rPr>
                <w:rFonts w:ascii="宋体" w:eastAsia="宋体" w:hAnsi="宋体" w:cs="宋体" w:hint="eastAsia"/>
              </w:rPr>
              <w:t>资概</w:t>
            </w:r>
            <w:r>
              <w:rPr>
                <w:rFonts w:ascii="宋体" w:eastAsia="宋体" w:hAnsi="宋体" w:cs="宋体" w:hint="eastAsia"/>
                <w:lang w:eastAsia="zh-CN"/>
              </w:rPr>
              <w:t>算控</w:t>
            </w:r>
            <w:r>
              <w:rPr>
                <w:rFonts w:ascii="宋体" w:eastAsia="宋体" w:hAnsi="宋体" w:cs="宋体" w:hint="eastAsia"/>
              </w:rPr>
              <w:t>制率</w:t>
            </w:r>
          </w:p>
        </w:tc>
      </w:tr>
      <w:tr w:rsidR="0064725D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64725D" w:rsidRDefault="0064725D" w:rsidP="009F360C"/>
        </w:tc>
        <w:tc>
          <w:tcPr>
            <w:tcW w:w="1158" w:type="dxa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79" w:type="dxa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:rsidR="0064725D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64725D">
        <w:trPr>
          <w:trHeight w:val="345"/>
        </w:trPr>
        <w:tc>
          <w:tcPr>
            <w:tcW w:w="3271" w:type="dxa"/>
            <w:vAlign w:val="center"/>
          </w:tcPr>
          <w:p w:rsidR="0064725D" w:rsidRDefault="0064725D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64725D" w:rsidRDefault="00680425" w:rsidP="009F360C">
            <w:pPr>
              <w:rPr>
                <w:lang w:eastAsia="zh-CN"/>
              </w:rPr>
            </w:pPr>
            <w:r w:rsidRPr="00A76B7B">
              <w:rPr>
                <w:rFonts w:eastAsiaTheme="minorEastAsia" w:hint="eastAsia"/>
                <w:sz w:val="20"/>
                <w:szCs w:val="20"/>
                <w:lang w:eastAsia="zh-CN"/>
              </w:rPr>
              <w:t>严格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实行</w:t>
            </w:r>
            <w:r w:rsidRPr="00A76B7B">
              <w:rPr>
                <w:rFonts w:eastAsiaTheme="minorEastAsia" w:hint="eastAsia"/>
                <w:sz w:val="20"/>
                <w:szCs w:val="20"/>
                <w:lang w:eastAsia="zh-CN"/>
              </w:rPr>
              <w:t>经费管理制度、切实厉行节约和完善风险管控，做好经费保障措施，确保学校经费用在真正需要的地方，合理高效地运用并得到合理保障。</w:t>
            </w:r>
          </w:p>
        </w:tc>
      </w:tr>
    </w:tbl>
    <w:p w:rsidR="00382F88" w:rsidRDefault="002619B6" w:rsidP="009F360C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说明：</w:t>
      </w:r>
      <w:r>
        <w:rPr>
          <w:rFonts w:hint="eastAsia"/>
          <w:lang w:eastAsia="zh-CN"/>
        </w:rPr>
        <w:t>“</w:t>
      </w:r>
      <w:r>
        <w:rPr>
          <w:rFonts w:ascii="宋体" w:eastAsia="宋体" w:hAnsi="宋体" w:cs="宋体" w:hint="eastAsia"/>
          <w:lang w:eastAsia="zh-CN"/>
        </w:rPr>
        <w:t>项目支出</w:t>
      </w:r>
      <w:r>
        <w:rPr>
          <w:rFonts w:hint="eastAsia"/>
          <w:lang w:eastAsia="zh-CN"/>
        </w:rPr>
        <w:t>”</w:t>
      </w:r>
      <w:r>
        <w:rPr>
          <w:rFonts w:ascii="宋体" w:eastAsia="宋体" w:hAnsi="宋体" w:cs="宋体" w:hint="eastAsia"/>
          <w:lang w:eastAsia="zh-CN"/>
        </w:rPr>
        <w:t>需要填报基本支出以外的所有项目支出情况，</w:t>
      </w:r>
      <w:r>
        <w:rPr>
          <w:rFonts w:hint="eastAsia"/>
          <w:lang w:eastAsia="zh-CN"/>
        </w:rPr>
        <w:t>“</w:t>
      </w:r>
      <w:r>
        <w:rPr>
          <w:rFonts w:ascii="宋体" w:eastAsia="宋体" w:hAnsi="宋体" w:cs="宋体" w:hint="eastAsia"/>
          <w:lang w:eastAsia="zh-CN"/>
        </w:rPr>
        <w:t>公用经费</w:t>
      </w:r>
      <w:r>
        <w:rPr>
          <w:rFonts w:hint="eastAsia"/>
          <w:lang w:eastAsia="zh-CN"/>
        </w:rPr>
        <w:t>”</w:t>
      </w:r>
      <w:r>
        <w:rPr>
          <w:rFonts w:ascii="宋体" w:eastAsia="宋体" w:hAnsi="宋体" w:cs="宋体" w:hint="eastAsia"/>
          <w:lang w:eastAsia="zh-CN"/>
        </w:rPr>
        <w:t>填报基本支出中的一般商品和服务支出。</w:t>
      </w:r>
    </w:p>
    <w:p w:rsidR="00680425" w:rsidRDefault="00680425" w:rsidP="00680425">
      <w:pPr>
        <w:spacing w:before="65" w:line="228" w:lineRule="auto"/>
        <w:ind w:firstLine="0"/>
        <w:jc w:val="left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 李华罡  填报日期：</w:t>
      </w:r>
      <w:r>
        <w:rPr>
          <w:rFonts w:ascii="仿宋_GB2312" w:eastAsia="仿宋_GB2312" w:hAnsi="宋体" w:cs="宋体" w:hint="eastAsia"/>
          <w:lang w:eastAsia="zh-CN"/>
        </w:rPr>
        <w:t>2024.10.12</w:t>
      </w:r>
      <w:r>
        <w:rPr>
          <w:rFonts w:ascii="仿宋_GB2312" w:eastAsia="仿宋_GB2312" w:hAnsi="宋体" w:cs="宋体"/>
          <w:lang w:eastAsia="zh-CN"/>
        </w:rPr>
        <w:t xml:space="preserve"> 联系电话：</w:t>
      </w:r>
      <w:r>
        <w:rPr>
          <w:rFonts w:ascii="仿宋_GB2312" w:eastAsia="仿宋_GB2312" w:hAnsi="宋体" w:cs="宋体" w:hint="eastAsia"/>
          <w:lang w:eastAsia="zh-CN"/>
        </w:rPr>
        <w:t>13974050680</w:t>
      </w:r>
      <w:r>
        <w:rPr>
          <w:rFonts w:ascii="仿宋_GB2312" w:eastAsia="仿宋_GB2312" w:hAnsi="宋体" w:cs="宋体"/>
          <w:lang w:eastAsia="zh-CN"/>
        </w:rPr>
        <w:t xml:space="preserve">  单位负责人签字：冯丁伟</w:t>
      </w:r>
    </w:p>
    <w:p w:rsidR="00382F88" w:rsidRPr="00680425" w:rsidRDefault="00382F88" w:rsidP="009F360C">
      <w:pPr>
        <w:rPr>
          <w:lang w:eastAsia="zh-CN"/>
        </w:rPr>
        <w:sectPr w:rsidR="00382F88" w:rsidRPr="006804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E73B2B" w:rsidRDefault="00E73B2B" w:rsidP="00E73B2B">
      <w:pPr>
        <w:spacing w:before="117" w:line="219" w:lineRule="auto"/>
        <w:ind w:firstLine="0"/>
        <w:jc w:val="left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382F88" w:rsidRDefault="00E73B2B" w:rsidP="00E73B2B">
      <w:pPr>
        <w:rPr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382F88">
        <w:trPr>
          <w:trHeight w:val="484"/>
        </w:trPr>
        <w:tc>
          <w:tcPr>
            <w:tcW w:w="1074" w:type="dxa"/>
            <w:vAlign w:val="center"/>
          </w:tcPr>
          <w:p w:rsidR="00382F88" w:rsidRDefault="002619B6" w:rsidP="00680425">
            <w:pPr>
              <w:ind w:firstLine="0"/>
              <w:jc w:val="both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预算部门</w:t>
            </w:r>
          </w:p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382F88" w:rsidRDefault="00680425" w:rsidP="009F360C">
            <w:r>
              <w:t>汨罗市第一中学</w:t>
            </w:r>
          </w:p>
        </w:tc>
      </w:tr>
      <w:tr w:rsidR="00382F88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82F88" w:rsidRDefault="00382F88" w:rsidP="009F360C"/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年度预算申请</w:t>
            </w:r>
            <w:r>
              <w:rPr>
                <w:rFonts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382F88" w:rsidRDefault="00382F88" w:rsidP="009F360C"/>
        </w:tc>
        <w:tc>
          <w:tcPr>
            <w:tcW w:w="1249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年初</w:t>
            </w:r>
          </w:p>
          <w:p w:rsidR="00382F88" w:rsidRDefault="002619B6" w:rsidP="009F360C">
            <w:r>
              <w:rPr>
                <w:rFonts w:ascii="宋体" w:eastAsia="宋体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全年</w:t>
            </w:r>
          </w:p>
          <w:p w:rsidR="00382F88" w:rsidRDefault="002619B6" w:rsidP="009F360C">
            <w:r>
              <w:rPr>
                <w:rFonts w:ascii="宋体" w:eastAsia="宋体" w:hAnsi="宋体" w:cs="宋体"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全年</w:t>
            </w:r>
          </w:p>
          <w:p w:rsidR="00382F88" w:rsidRDefault="002619B6" w:rsidP="009F360C">
            <w:r>
              <w:rPr>
                <w:rFonts w:ascii="宋体" w:eastAsia="宋体" w:hAnsi="宋体" w:cs="宋体"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得分</w:t>
            </w:r>
          </w:p>
        </w:tc>
      </w:tr>
      <w:tr w:rsidR="00382F8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82F88" w:rsidRDefault="00382F88" w:rsidP="009F360C"/>
        </w:tc>
        <w:tc>
          <w:tcPr>
            <w:tcW w:w="2098" w:type="dxa"/>
            <w:gridSpan w:val="2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382F88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4046.62</w:t>
            </w:r>
          </w:p>
        </w:tc>
        <w:tc>
          <w:tcPr>
            <w:tcW w:w="1298" w:type="dxa"/>
            <w:vAlign w:val="center"/>
          </w:tcPr>
          <w:p w:rsidR="00382F88" w:rsidRDefault="00680425" w:rsidP="009F360C">
            <w:r>
              <w:rPr>
                <w:rFonts w:eastAsiaTheme="minorEastAsia" w:hint="eastAsia"/>
                <w:lang w:eastAsia="zh-CN"/>
              </w:rPr>
              <w:t>7703.58</w:t>
            </w:r>
          </w:p>
        </w:tc>
        <w:tc>
          <w:tcPr>
            <w:tcW w:w="1269" w:type="dxa"/>
            <w:vAlign w:val="center"/>
          </w:tcPr>
          <w:p w:rsidR="00382F88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7703.58</w:t>
            </w:r>
          </w:p>
        </w:tc>
        <w:tc>
          <w:tcPr>
            <w:tcW w:w="699" w:type="dxa"/>
            <w:vAlign w:val="center"/>
          </w:tcPr>
          <w:p w:rsidR="00382F88" w:rsidRDefault="002619B6" w:rsidP="009F360C">
            <w:r>
              <w:rPr>
                <w:rFonts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382F88" w:rsidRPr="00680425" w:rsidRDefault="00680425" w:rsidP="00680425">
            <w:pPr>
              <w:ind w:firstLine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382F88" w:rsidRPr="00680425" w:rsidRDefault="00680425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</w:tr>
      <w:tr w:rsidR="00382F88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82F88" w:rsidRDefault="00382F88" w:rsidP="009F360C"/>
        </w:tc>
        <w:tc>
          <w:tcPr>
            <w:tcW w:w="4645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按收入性质分：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7703.58</w:t>
            </w:r>
          </w:p>
        </w:tc>
        <w:tc>
          <w:tcPr>
            <w:tcW w:w="4260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按支出性质分：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7703.58</w:t>
            </w:r>
          </w:p>
        </w:tc>
      </w:tr>
      <w:tr w:rsidR="00382F88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82F88" w:rsidRDefault="00382F88" w:rsidP="009F360C"/>
        </w:tc>
        <w:tc>
          <w:tcPr>
            <w:tcW w:w="4645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其中：一般公共预算：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7703.58</w:t>
            </w:r>
          </w:p>
        </w:tc>
        <w:tc>
          <w:tcPr>
            <w:tcW w:w="4260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其中：基本支出：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7703.58</w:t>
            </w:r>
          </w:p>
        </w:tc>
      </w:tr>
      <w:tr w:rsidR="00382F88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82F88" w:rsidRDefault="00382F88" w:rsidP="009F360C"/>
        </w:tc>
        <w:tc>
          <w:tcPr>
            <w:tcW w:w="4645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政府性基金拨款：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项目支出：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</w:tr>
      <w:tr w:rsidR="00382F88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382F88" w:rsidRDefault="00382F88" w:rsidP="009F360C"/>
        </w:tc>
        <w:tc>
          <w:tcPr>
            <w:tcW w:w="4645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纳入专户管理的非税收入拨款：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:rsidR="00382F88" w:rsidRDefault="00382F88" w:rsidP="009F360C">
            <w:pPr>
              <w:rPr>
                <w:lang w:eastAsia="zh-CN"/>
              </w:rPr>
            </w:pPr>
          </w:p>
        </w:tc>
      </w:tr>
      <w:tr w:rsidR="00382F88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382F88" w:rsidRDefault="00382F88" w:rsidP="009F360C">
            <w:pPr>
              <w:rPr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其他资金：</w:t>
            </w:r>
            <w:r w:rsidR="00680425">
              <w:rPr>
                <w:rFonts w:ascii="宋体" w:eastAsia="宋体" w:hAnsi="宋体" w:cs="宋体" w:hint="eastAsia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:rsidR="00382F88" w:rsidRDefault="00382F88" w:rsidP="009F360C"/>
        </w:tc>
      </w:tr>
      <w:tr w:rsidR="00382F88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382F88" w:rsidRDefault="002619B6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382F88" w:rsidRDefault="002619B6" w:rsidP="009F360C">
            <w:r>
              <w:rPr>
                <w:rFonts w:ascii="宋体" w:eastAsia="宋体" w:hAnsi="宋体" w:cs="宋体" w:hint="eastAsia"/>
              </w:rPr>
              <w:t>实际完成情况</w:t>
            </w:r>
          </w:p>
        </w:tc>
      </w:tr>
      <w:tr w:rsidR="00680425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680425" w:rsidRDefault="00680425" w:rsidP="009F360C"/>
        </w:tc>
        <w:tc>
          <w:tcPr>
            <w:tcW w:w="4645" w:type="dxa"/>
            <w:gridSpan w:val="4"/>
            <w:vAlign w:val="center"/>
          </w:tcPr>
          <w:p w:rsidR="00680425" w:rsidRDefault="00680425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把教学放在首位，提高师生整体素质，师生满意度达到</w:t>
            </w:r>
            <w:r>
              <w:rPr>
                <w:rFonts w:ascii="仿宋_GB2312" w:eastAsia="仿宋_GB2312" w:hint="eastAsia"/>
                <w:lang w:eastAsia="zh-CN"/>
              </w:rPr>
              <w:t>99%</w:t>
            </w:r>
          </w:p>
        </w:tc>
        <w:tc>
          <w:tcPr>
            <w:tcW w:w="4260" w:type="dxa"/>
            <w:gridSpan w:val="4"/>
            <w:vAlign w:val="center"/>
          </w:tcPr>
          <w:p w:rsidR="00680425" w:rsidRDefault="00680425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圆满完成各项任务</w:t>
            </w:r>
          </w:p>
        </w:tc>
      </w:tr>
      <w:tr w:rsidR="00680425" w:rsidTr="00517FE5">
        <w:trPr>
          <w:trHeight w:val="1237"/>
        </w:trPr>
        <w:tc>
          <w:tcPr>
            <w:tcW w:w="1074" w:type="dxa"/>
            <w:vMerge w:val="restart"/>
            <w:textDirection w:val="tbRlV"/>
            <w:vAlign w:val="center"/>
          </w:tcPr>
          <w:p w:rsidR="00680425" w:rsidRDefault="00680425" w:rsidP="009F360C"/>
          <w:p w:rsidR="00680425" w:rsidRDefault="00680425" w:rsidP="009F360C">
            <w:r>
              <w:rPr>
                <w:rFonts w:ascii="宋体" w:eastAsia="宋体" w:hAnsi="宋体" w:cs="宋体" w:hint="eastAsia"/>
              </w:rPr>
              <w:t>绩效指标</w:t>
            </w:r>
          </w:p>
          <w:p w:rsidR="00680425" w:rsidRDefault="00680425" w:rsidP="009F360C"/>
          <w:p w:rsidR="00680425" w:rsidRDefault="00680425" w:rsidP="009F360C"/>
        </w:tc>
        <w:tc>
          <w:tcPr>
            <w:tcW w:w="1069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二级指标</w:t>
            </w:r>
          </w:p>
        </w:tc>
        <w:tc>
          <w:tcPr>
            <w:tcW w:w="1249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680425" w:rsidRDefault="00680425" w:rsidP="009F360C">
            <w:r>
              <w:rPr>
                <w:rFonts w:ascii="宋体" w:eastAsia="宋体" w:hAnsi="宋体" w:cs="宋体"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680425" w:rsidRDefault="00680425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偏差原因</w:t>
            </w:r>
          </w:p>
          <w:p w:rsidR="00680425" w:rsidRDefault="00680425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分析及</w:t>
            </w:r>
          </w:p>
          <w:p w:rsidR="00680425" w:rsidRDefault="00680425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改进措施</w:t>
            </w:r>
          </w:p>
        </w:tc>
      </w:tr>
      <w:tr w:rsidR="00E750A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>
            <w:pPr>
              <w:rPr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产出指标</w:t>
            </w:r>
          </w:p>
          <w:p w:rsidR="00E750A4" w:rsidRDefault="00E750A4" w:rsidP="009F360C"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249" w:type="dxa"/>
            <w:vAlign w:val="center"/>
          </w:tcPr>
          <w:p w:rsidR="00E750A4" w:rsidRPr="00FD74AE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招生数、在校生数、毕业生数达标。</w:t>
            </w:r>
          </w:p>
        </w:tc>
        <w:tc>
          <w:tcPr>
            <w:tcW w:w="1298" w:type="dxa"/>
            <w:vAlign w:val="center"/>
          </w:tcPr>
          <w:p w:rsidR="00E750A4" w:rsidRPr="00FD74AE" w:rsidRDefault="00E750A4" w:rsidP="00517FE5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招收</w:t>
            </w:r>
            <w:r>
              <w:rPr>
                <w:rFonts w:hint="eastAsia"/>
                <w:sz w:val="14"/>
                <w:szCs w:val="14"/>
                <w:lang w:eastAsia="zh-CN"/>
              </w:rPr>
              <w:t>1</w:t>
            </w:r>
            <w:r w:rsidR="00517FE5">
              <w:rPr>
                <w:rFonts w:eastAsiaTheme="minorEastAsia" w:hint="eastAsia"/>
                <w:sz w:val="14"/>
                <w:szCs w:val="14"/>
                <w:lang w:eastAsia="zh-CN"/>
              </w:rPr>
              <w:t>3</w:t>
            </w:r>
            <w:r>
              <w:rPr>
                <w:rFonts w:hint="eastAsia"/>
                <w:sz w:val="14"/>
                <w:szCs w:val="14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名新生，在校生达到</w:t>
            </w:r>
            <w:r>
              <w:rPr>
                <w:rFonts w:hint="eastAsia"/>
                <w:sz w:val="14"/>
                <w:szCs w:val="14"/>
                <w:lang w:eastAsia="zh-CN"/>
              </w:rPr>
              <w:t>3</w:t>
            </w:r>
            <w:r w:rsidR="00517FE5">
              <w:rPr>
                <w:rFonts w:eastAsiaTheme="minorEastAsia" w:hint="eastAsia"/>
                <w:sz w:val="14"/>
                <w:szCs w:val="14"/>
                <w:lang w:eastAsia="zh-CN"/>
              </w:rPr>
              <w:t>5</w:t>
            </w:r>
            <w:r>
              <w:rPr>
                <w:rFonts w:hint="eastAsia"/>
                <w:sz w:val="14"/>
                <w:szCs w:val="14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人，预计高中毕业合格率达</w:t>
            </w:r>
            <w:r>
              <w:rPr>
                <w:rFonts w:hint="eastAsia"/>
                <w:sz w:val="14"/>
                <w:szCs w:val="14"/>
                <w:lang w:eastAsia="zh-CN"/>
              </w:rPr>
              <w:t>100%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，本科上线率达</w:t>
            </w:r>
            <w:r>
              <w:rPr>
                <w:rFonts w:hint="eastAsia"/>
                <w:sz w:val="14"/>
                <w:szCs w:val="14"/>
                <w:lang w:eastAsia="zh-CN"/>
              </w:rPr>
              <w:t>9</w:t>
            </w:r>
            <w:r>
              <w:rPr>
                <w:rFonts w:eastAsiaTheme="minorEastAsia" w:hint="eastAsia"/>
                <w:sz w:val="14"/>
                <w:szCs w:val="14"/>
                <w:lang w:eastAsia="zh-CN"/>
              </w:rPr>
              <w:t>6</w:t>
            </w:r>
            <w:r>
              <w:rPr>
                <w:rFonts w:hint="eastAsia"/>
                <w:sz w:val="14"/>
                <w:szCs w:val="14"/>
                <w:lang w:eastAsia="zh-CN"/>
              </w:rPr>
              <w:t>%</w:t>
            </w: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。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9.8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249" w:type="dxa"/>
            <w:vAlign w:val="center"/>
          </w:tcPr>
          <w:p w:rsidR="00E750A4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学校教育质量考核进入先进单位</w:t>
            </w:r>
          </w:p>
        </w:tc>
        <w:tc>
          <w:tcPr>
            <w:tcW w:w="1298" w:type="dxa"/>
            <w:vAlign w:val="center"/>
          </w:tcPr>
          <w:p w:rsidR="00E750A4" w:rsidRPr="00FD74AE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学校教育质量考核进入先进单位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24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完成各项任务指标</w:t>
            </w:r>
          </w:p>
        </w:tc>
        <w:tc>
          <w:tcPr>
            <w:tcW w:w="1298" w:type="dxa"/>
            <w:vAlign w:val="center"/>
          </w:tcPr>
          <w:p w:rsidR="00E750A4" w:rsidRPr="00FD74AE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按时完成教育教学任务，顺利完成各项任务指标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效益指标</w:t>
            </w:r>
            <w:r>
              <w:rPr>
                <w:rFonts w:hint="eastAsia"/>
              </w:rPr>
              <w:t>(30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经济效益指标</w:t>
            </w:r>
          </w:p>
        </w:tc>
        <w:tc>
          <w:tcPr>
            <w:tcW w:w="1249" w:type="dxa"/>
            <w:vAlign w:val="center"/>
          </w:tcPr>
          <w:p w:rsidR="00E750A4" w:rsidRPr="00FD74AE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经济效益</w:t>
            </w:r>
          </w:p>
        </w:tc>
        <w:tc>
          <w:tcPr>
            <w:tcW w:w="1298" w:type="dxa"/>
            <w:vAlign w:val="center"/>
          </w:tcPr>
          <w:p w:rsidR="00E750A4" w:rsidRPr="00FD74AE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完成高中学历教育，收支平衡。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249" w:type="dxa"/>
            <w:vAlign w:val="center"/>
          </w:tcPr>
          <w:p w:rsidR="00E750A4" w:rsidRPr="00F44C74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学校办学水平</w:t>
            </w:r>
          </w:p>
        </w:tc>
        <w:tc>
          <w:tcPr>
            <w:tcW w:w="1298" w:type="dxa"/>
            <w:vAlign w:val="center"/>
          </w:tcPr>
          <w:p w:rsidR="00E750A4" w:rsidRPr="00F44C74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教师素质和学校办学水平进一步提升；教育教学成绩不断提高，学生各类竞赛、评比成绩更好；深化课题研究，促进教学技能发展；文化建设深受社会好评；为国家输送更多的优秀人才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生态效益指标</w:t>
            </w:r>
          </w:p>
        </w:tc>
        <w:tc>
          <w:tcPr>
            <w:tcW w:w="1249" w:type="dxa"/>
            <w:vAlign w:val="center"/>
          </w:tcPr>
          <w:p w:rsidR="00E750A4" w:rsidRPr="00F44C74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校园生态环境</w:t>
            </w:r>
          </w:p>
        </w:tc>
        <w:tc>
          <w:tcPr>
            <w:tcW w:w="1298" w:type="dxa"/>
            <w:vAlign w:val="center"/>
          </w:tcPr>
          <w:p w:rsidR="00E750A4" w:rsidRPr="00F44C74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增加学校绿化覆盖率，加强学生的环保意识，优化校园生态环境。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bottom w:val="nil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:rsidR="00E750A4" w:rsidRPr="00F44C74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社会知名度</w:t>
            </w:r>
          </w:p>
        </w:tc>
        <w:tc>
          <w:tcPr>
            <w:tcW w:w="1298" w:type="dxa"/>
            <w:vAlign w:val="center"/>
          </w:tcPr>
          <w:p w:rsidR="00E750A4" w:rsidRPr="00F44C74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以提高人才培养质量为核心，全力打造学校育人品牌，在市城区生源稳定，学生表现良好，对社会培养合格公民。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 w:rsidTr="00E750A4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满意度指标</w:t>
            </w:r>
          </w:p>
          <w:p w:rsidR="00E750A4" w:rsidRDefault="00E750A4" w:rsidP="009F360C">
            <w:r>
              <w:rPr>
                <w:rFonts w:hint="eastAsia"/>
              </w:rPr>
              <w:t>(10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E750A4" w:rsidRDefault="00E750A4" w:rsidP="009F360C">
            <w:r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750A4" w:rsidRPr="00BE0544" w:rsidRDefault="00E750A4" w:rsidP="00B67085">
            <w:pPr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服务对象满意度</w:t>
            </w:r>
          </w:p>
        </w:tc>
        <w:tc>
          <w:tcPr>
            <w:tcW w:w="1298" w:type="dxa"/>
            <w:vAlign w:val="center"/>
          </w:tcPr>
          <w:p w:rsidR="00E750A4" w:rsidRPr="00C07EB5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持续开展加强家校联系活动，把教学放在首位，一切为教学服务，办社会、家长、学生满意教育。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99%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9.9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 w:rsidTr="00E750A4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:rsidR="00E750A4" w:rsidRDefault="00E750A4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成本指标</w:t>
            </w:r>
          </w:p>
          <w:p w:rsidR="00E750A4" w:rsidRDefault="00E750A4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E750A4" w:rsidRDefault="00E750A4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E750A4" w:rsidRPr="00BE0544" w:rsidRDefault="00E750A4" w:rsidP="00B67085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合理安排资金</w:t>
            </w:r>
          </w:p>
        </w:tc>
        <w:tc>
          <w:tcPr>
            <w:tcW w:w="1298" w:type="dxa"/>
            <w:vAlign w:val="center"/>
          </w:tcPr>
          <w:p w:rsidR="00E750A4" w:rsidRPr="00BE0544" w:rsidRDefault="00E750A4" w:rsidP="00E750A4">
            <w:pPr>
              <w:ind w:firstLine="0"/>
              <w:jc w:val="left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严格执行事业单位财务管理制度及相关政策精神，合理安排资金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top w:val="nil"/>
            </w:tcBorders>
            <w:vAlign w:val="center"/>
          </w:tcPr>
          <w:p w:rsidR="00E750A4" w:rsidRDefault="00E750A4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E750A4" w:rsidRPr="00BE0544" w:rsidRDefault="00E750A4" w:rsidP="00B67085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E750A4" w:rsidRDefault="00E750A4" w:rsidP="009F360C"/>
        </w:tc>
        <w:tc>
          <w:tcPr>
            <w:tcW w:w="1069" w:type="dxa"/>
            <w:vMerge/>
            <w:vAlign w:val="center"/>
          </w:tcPr>
          <w:p w:rsidR="00E750A4" w:rsidRDefault="00E750A4" w:rsidP="009F360C"/>
        </w:tc>
        <w:tc>
          <w:tcPr>
            <w:tcW w:w="1029" w:type="dxa"/>
            <w:tcBorders>
              <w:top w:val="nil"/>
            </w:tcBorders>
            <w:vAlign w:val="center"/>
          </w:tcPr>
          <w:p w:rsidR="00E750A4" w:rsidRDefault="00E750A4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E750A4" w:rsidRPr="00BE0544" w:rsidRDefault="00E750A4" w:rsidP="00B67085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750A4" w:rsidRDefault="00E750A4" w:rsidP="00B67085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  <w:tr w:rsidR="00E750A4">
        <w:trPr>
          <w:trHeight w:val="339"/>
        </w:trPr>
        <w:tc>
          <w:tcPr>
            <w:tcW w:w="6988" w:type="dxa"/>
            <w:gridSpan w:val="6"/>
            <w:vAlign w:val="center"/>
          </w:tcPr>
          <w:p w:rsidR="00E750A4" w:rsidRDefault="00E750A4" w:rsidP="009F360C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E750A4" w:rsidRDefault="00E750A4" w:rsidP="00E750A4">
            <w:pPr>
              <w:ind w:firstLine="0"/>
              <w:jc w:val="both"/>
            </w:pPr>
            <w:r>
              <w:rPr>
                <w:rFonts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E750A4" w:rsidRPr="00E750A4" w:rsidRDefault="00E750A4" w:rsidP="009F360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99.7</w:t>
            </w:r>
          </w:p>
        </w:tc>
        <w:tc>
          <w:tcPr>
            <w:tcW w:w="1423" w:type="dxa"/>
            <w:vAlign w:val="center"/>
          </w:tcPr>
          <w:p w:rsidR="00E750A4" w:rsidRDefault="00E750A4" w:rsidP="009F360C"/>
        </w:tc>
      </w:tr>
    </w:tbl>
    <w:p w:rsidR="00382F88" w:rsidRDefault="00164CD2" w:rsidP="00164CD2">
      <w:pPr>
        <w:ind w:firstLine="0"/>
        <w:jc w:val="left"/>
        <w:rPr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 李华罡  填报日期：</w:t>
      </w:r>
      <w:r>
        <w:rPr>
          <w:rFonts w:ascii="仿宋_GB2312" w:eastAsia="仿宋_GB2312" w:hAnsi="宋体" w:cs="宋体" w:hint="eastAsia"/>
          <w:lang w:eastAsia="zh-CN"/>
        </w:rPr>
        <w:t>2024.10.12</w:t>
      </w:r>
      <w:r>
        <w:rPr>
          <w:rFonts w:ascii="仿宋_GB2312" w:eastAsia="仿宋_GB2312" w:hAnsi="宋体" w:cs="宋体"/>
          <w:lang w:eastAsia="zh-CN"/>
        </w:rPr>
        <w:t xml:space="preserve"> 联系电话：</w:t>
      </w:r>
      <w:r>
        <w:rPr>
          <w:rFonts w:ascii="仿宋_GB2312" w:eastAsia="仿宋_GB2312" w:hAnsi="宋体" w:cs="宋体" w:hint="eastAsia"/>
          <w:lang w:eastAsia="zh-CN"/>
        </w:rPr>
        <w:t>13974050680</w:t>
      </w:r>
      <w:r>
        <w:rPr>
          <w:rFonts w:ascii="仿宋_GB2312" w:eastAsia="仿宋_GB2312" w:hAnsi="宋体" w:cs="宋体"/>
          <w:lang w:eastAsia="zh-CN"/>
        </w:rPr>
        <w:t xml:space="preserve">  单位负责人签字：冯丁伟</w:t>
      </w: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164CD2" w:rsidRDefault="00164CD2" w:rsidP="00164CD2">
      <w:pPr>
        <w:spacing w:before="52" w:line="219" w:lineRule="auto"/>
        <w:rPr>
          <w:rFonts w:ascii="仿宋_GB2312" w:eastAsia="仿宋_GB2312" w:hAnsi="宋体" w:cs="宋体"/>
          <w:lang w:eastAsia="zh-CN"/>
        </w:rPr>
        <w:sectPr w:rsidR="00164CD2">
          <w:footerReference w:type="default" r:id="rId12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</w:p>
    <w:p w:rsidR="00164CD2" w:rsidRDefault="00164CD2" w:rsidP="00164CD2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164CD2" w:rsidRDefault="00164CD2" w:rsidP="00164CD2">
      <w:pPr>
        <w:ind w:firstLine="880"/>
        <w:rPr>
          <w:rFonts w:ascii="方正小标宋简体" w:eastAsia="方正小标宋简体"/>
          <w:sz w:val="44"/>
          <w:szCs w:val="44"/>
          <w:lang w:eastAsia="zh-CN"/>
        </w:rPr>
      </w:pPr>
    </w:p>
    <w:p w:rsidR="00164CD2" w:rsidRDefault="00164CD2" w:rsidP="00164CD2">
      <w:pPr>
        <w:ind w:firstLine="880"/>
        <w:rPr>
          <w:rFonts w:ascii="方正小标宋简体" w:eastAsia="方正小标宋简体"/>
          <w:sz w:val="44"/>
          <w:szCs w:val="44"/>
          <w:lang w:eastAsia="zh-CN"/>
        </w:rPr>
      </w:pPr>
    </w:p>
    <w:p w:rsidR="00164CD2" w:rsidRDefault="00164CD2" w:rsidP="00164CD2">
      <w:pPr>
        <w:ind w:firstLine="880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汨罗市第一中学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164CD2" w:rsidRDefault="00164CD2" w:rsidP="00164CD2">
      <w:pPr>
        <w:ind w:firstLine="880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64CD2" w:rsidRDefault="00164CD2" w:rsidP="00164CD2">
      <w:pPr>
        <w:spacing w:before="78" w:line="221" w:lineRule="auto"/>
        <w:ind w:firstLine="587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164CD2" w:rsidRDefault="00164CD2" w:rsidP="00164CD2">
      <w:pPr>
        <w:spacing w:before="274" w:line="225" w:lineRule="auto"/>
        <w:ind w:firstLine="617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2024 年 10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月 12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164CD2" w:rsidRDefault="00164CD2" w:rsidP="00164CD2">
      <w:pPr>
        <w:spacing w:before="211" w:line="224" w:lineRule="auto"/>
        <w:ind w:firstLine="638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164CD2" w:rsidRDefault="00164CD2" w:rsidP="00164CD2">
      <w:pPr>
        <w:spacing w:before="211" w:line="224" w:lineRule="auto"/>
        <w:ind w:firstLine="638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64CD2" w:rsidRDefault="00164CD2" w:rsidP="00164CD2">
      <w:pPr>
        <w:spacing w:before="211" w:line="224" w:lineRule="auto"/>
        <w:ind w:firstLine="638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64CD2" w:rsidRDefault="00164CD2" w:rsidP="00164CD2">
      <w:pPr>
        <w:spacing w:before="211" w:line="224" w:lineRule="auto"/>
        <w:ind w:firstLine="638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64CD2" w:rsidRDefault="00164CD2" w:rsidP="00164CD2">
      <w:pPr>
        <w:spacing w:before="211" w:line="224" w:lineRule="auto"/>
        <w:ind w:firstLine="638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64CD2" w:rsidRDefault="00164CD2" w:rsidP="00164CD2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164CD2" w:rsidRDefault="00164CD2" w:rsidP="00164CD2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164CD2" w:rsidRDefault="00164CD2" w:rsidP="00164CD2">
      <w:pPr>
        <w:spacing w:before="130" w:line="221" w:lineRule="auto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lastRenderedPageBreak/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3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 xml:space="preserve"> 年度</w:t>
      </w:r>
      <w:r w:rsidRPr="00164CD2"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汨</w:t>
      </w:r>
      <w:r w:rsidRPr="00164CD2">
        <w:rPr>
          <w:rFonts w:ascii="黑体" w:eastAsia="黑体" w:hAnsi="黑体" w:cs="黑体"/>
          <w:spacing w:val="16"/>
          <w:sz w:val="40"/>
          <w:szCs w:val="40"/>
          <w:lang w:eastAsia="zh-CN"/>
        </w:rPr>
        <w:t>罗市第一</w:t>
      </w:r>
      <w:r w:rsidRPr="00164CD2"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中学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164CD2" w:rsidRDefault="00164CD2" w:rsidP="00164CD2">
      <w:pPr>
        <w:spacing w:before="130" w:line="221" w:lineRule="auto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自评报告</w:t>
      </w:r>
    </w:p>
    <w:p w:rsidR="00164CD2" w:rsidRDefault="00164CD2" w:rsidP="00164CD2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64CD2" w:rsidRDefault="00164CD2" w:rsidP="00164CD2">
      <w:pPr>
        <w:spacing w:before="211" w:line="224" w:lineRule="auto"/>
        <w:ind w:firstLine="640"/>
        <w:jc w:val="both"/>
        <w:rPr>
          <w:rFonts w:ascii="方正黑体_GBK" w:eastAsia="方正黑体_GBK" w:hAnsi="仿宋" w:cs="仿宋" w:hint="eastAsia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一、部门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190533" w:rsidRPr="00976A58" w:rsidRDefault="00190533" w:rsidP="00190533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汨罗市第一中学属汨罗市教育体育局举办的公办普通高中教育学校，为财政全额拨款单位，执行政府会计制度，属汨罗市二级事业单位。</w:t>
      </w:r>
    </w:p>
    <w:p w:rsidR="00190533" w:rsidRPr="00976A58" w:rsidRDefault="00190533" w:rsidP="00190533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1</w:t>
      </w:r>
      <w:r w:rsidRPr="00976A58">
        <w:rPr>
          <w:rFonts w:eastAsia="仿宋_GB2312" w:hint="eastAsia"/>
          <w:sz w:val="32"/>
          <w:szCs w:val="32"/>
          <w:lang w:eastAsia="zh-CN"/>
        </w:rPr>
        <w:t>、主要职责：</w:t>
      </w:r>
    </w:p>
    <w:p w:rsidR="00190533" w:rsidRPr="00976A58" w:rsidRDefault="00190533" w:rsidP="00190533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实施高中学历教育</w:t>
      </w:r>
      <w:r w:rsidRPr="00976A58">
        <w:rPr>
          <w:rFonts w:eastAsia="仿宋_GB2312" w:hint="eastAsia"/>
          <w:sz w:val="32"/>
          <w:szCs w:val="32"/>
          <w:lang w:eastAsia="zh-CN"/>
        </w:rPr>
        <w:t>,</w:t>
      </w:r>
      <w:r w:rsidRPr="00976A58">
        <w:rPr>
          <w:rFonts w:eastAsia="仿宋_GB2312" w:hint="eastAsia"/>
          <w:sz w:val="32"/>
          <w:szCs w:val="32"/>
          <w:lang w:eastAsia="zh-CN"/>
        </w:rPr>
        <w:t>促进基础教育发展。全面贯彻执行国家的教育方针、政策及国家相关的法律法规；实施素质教育，按照规定标准完成教育教学任务，保证教育教学质量；加强教师队伍建设，提高教师的整体素质；加强安全和后勤服务工作，为教育教学提供保障。</w:t>
      </w:r>
    </w:p>
    <w:p w:rsidR="00190533" w:rsidRPr="00976A58" w:rsidRDefault="00190533" w:rsidP="00190533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2</w:t>
      </w:r>
      <w:r w:rsidRPr="00976A58">
        <w:rPr>
          <w:rFonts w:eastAsia="仿宋_GB2312" w:hint="eastAsia"/>
          <w:sz w:val="32"/>
          <w:szCs w:val="32"/>
          <w:lang w:eastAsia="zh-CN"/>
        </w:rPr>
        <w:t>、机构设置：</w:t>
      </w:r>
    </w:p>
    <w:p w:rsidR="00190533" w:rsidRDefault="00190533" w:rsidP="00190533">
      <w:pPr>
        <w:spacing w:before="211" w:line="224" w:lineRule="auto"/>
        <w:ind w:firstLine="640"/>
        <w:jc w:val="left"/>
        <w:rPr>
          <w:rFonts w:ascii="方正黑体_GBK" w:eastAsia="方正黑体_GBK" w:hAnsi="仿宋" w:cs="仿宋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单位内设机构十个，分别为党委办、办公室、教务科、德育处、教研室、督导室、总务处、团委办、工会、信息中心。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164CD2" w:rsidRDefault="00164CD2" w:rsidP="00164CD2">
      <w:pPr>
        <w:pStyle w:val="a6"/>
        <w:spacing w:line="600" w:lineRule="exact"/>
        <w:ind w:firstLine="643"/>
        <w:jc w:val="both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190533" w:rsidRDefault="00190533" w:rsidP="00190533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202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3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年度财政拨款基本支出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7703.58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万元，其中：人员经费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6673.84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万元，占基本支出的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86.63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%,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主要包括</w:t>
      </w:r>
      <w:r w:rsidR="00517FE5">
        <w:rPr>
          <w:rFonts w:ascii="仿宋" w:eastAsia="仿宋" w:hAnsi="仿宋" w:cs="仿宋" w:hint="eastAsia"/>
          <w:sz w:val="32"/>
          <w:szCs w:val="32"/>
          <w:lang w:eastAsia="zh-CN"/>
        </w:rPr>
        <w:t>基本工资、津贴补贴、奖金、伙食补助费、</w:t>
      </w:r>
      <w:r w:rsidR="00517FE5" w:rsidRPr="00A43201">
        <w:rPr>
          <w:rFonts w:ascii="仿宋" w:eastAsia="仿宋" w:hAnsi="仿宋" w:cs="仿宋" w:hint="eastAsia"/>
          <w:sz w:val="32"/>
          <w:szCs w:val="32"/>
          <w:lang w:eastAsia="zh-CN"/>
        </w:rPr>
        <w:t>绩效工资、机关事业单位基本养老保险缴费、职业年金缴费、职工基本医疗保障缴费、其他社会保障缴费、住房公积金、其他工资福利支出、抚恤金、生活</w:t>
      </w:r>
      <w:r w:rsidR="00517FE5" w:rsidRPr="00A43201"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补助、其他对个人和家庭的补助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；公用经费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1029.74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万元，占基本支出的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13.37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%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，主要包括</w:t>
      </w:r>
      <w:r w:rsidR="00517FE5">
        <w:rPr>
          <w:rFonts w:ascii="仿宋" w:eastAsia="仿宋" w:hAnsi="仿宋" w:cs="仿宋" w:hint="eastAsia"/>
          <w:sz w:val="32"/>
          <w:szCs w:val="32"/>
          <w:lang w:eastAsia="zh-CN"/>
        </w:rPr>
        <w:t>办公费、印刷费、咨询费、手续费、</w:t>
      </w:r>
      <w:r w:rsidR="00517FE5" w:rsidRPr="00A43201">
        <w:rPr>
          <w:rFonts w:ascii="仿宋" w:eastAsia="仿宋" w:hAnsi="仿宋" w:cs="仿宋" w:hint="eastAsia"/>
          <w:sz w:val="32"/>
          <w:szCs w:val="32"/>
          <w:lang w:eastAsia="zh-CN"/>
        </w:rPr>
        <w:t>水费、电费、物业管理费、差旅费、维修费、租赁费、会议费、培训费、公务接待费、专用材料费、专用燃料费、劳务费、委托业务费、工会经费、其他交通费用、其他商品和服务支出</w:t>
      </w:r>
      <w:r w:rsidRPr="00E367E5"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 w:rsidR="00164CD2" w:rsidRDefault="00164CD2" w:rsidP="00164CD2">
      <w:pPr>
        <w:pStyle w:val="a6"/>
        <w:spacing w:line="600" w:lineRule="exact"/>
        <w:ind w:firstLine="643"/>
        <w:jc w:val="both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517FE5" w:rsidRPr="00517FE5" w:rsidRDefault="00517FE5" w:rsidP="00517FE5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本年度无项目支出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517FE5" w:rsidRPr="00517FE5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/>
          <w:sz w:val="32"/>
          <w:szCs w:val="32"/>
          <w:lang w:eastAsia="zh-CN"/>
        </w:rPr>
        <w:t>我单位本年度无政府性基金预算支出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四、国有资本经营预算支出情况</w:t>
      </w:r>
    </w:p>
    <w:p w:rsidR="00517FE5" w:rsidRPr="00517FE5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我单位本年度无经营预算支出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五、社会保险基金预算支出情况</w:t>
      </w:r>
    </w:p>
    <w:p w:rsidR="00517FE5" w:rsidRPr="00517FE5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976A58">
        <w:rPr>
          <w:rFonts w:eastAsia="仿宋_GB2312" w:hint="eastAsia"/>
          <w:sz w:val="32"/>
          <w:szCs w:val="32"/>
          <w:lang w:eastAsia="zh-CN"/>
        </w:rPr>
        <w:t>我单位本年度无社会保险基金预算支出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164CD2" w:rsidRDefault="00517FE5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我单位</w:t>
      </w:r>
      <w:r>
        <w:rPr>
          <w:rFonts w:eastAsia="仿宋_GB2312"/>
          <w:sz w:val="32"/>
          <w:szCs w:val="32"/>
          <w:lang w:eastAsia="zh-CN"/>
        </w:rPr>
        <w:t>“</w:t>
      </w:r>
      <w:r>
        <w:rPr>
          <w:rFonts w:eastAsia="仿宋_GB2312" w:hint="eastAsia"/>
          <w:sz w:val="32"/>
          <w:szCs w:val="32"/>
          <w:lang w:eastAsia="zh-CN"/>
        </w:rPr>
        <w:t>四本预算</w:t>
      </w:r>
      <w:r>
        <w:rPr>
          <w:rFonts w:eastAsia="仿宋_GB2312"/>
          <w:sz w:val="32"/>
          <w:szCs w:val="32"/>
          <w:lang w:eastAsia="zh-CN"/>
        </w:rPr>
        <w:t>”</w:t>
      </w:r>
      <w:r>
        <w:rPr>
          <w:rFonts w:eastAsia="仿宋_GB2312" w:hint="eastAsia"/>
          <w:sz w:val="32"/>
          <w:szCs w:val="32"/>
          <w:lang w:eastAsia="zh-CN"/>
        </w:rPr>
        <w:t>支出的绩效目标完成情况好，实现产出和取得效益达标。围绕部门职责、学校发展规划，以预算资金管理为主线，完善单位资产管理，积极开展业务活动。</w:t>
      </w:r>
      <w:r>
        <w:rPr>
          <w:rFonts w:eastAsia="仿宋_GB2312" w:hint="eastAsia"/>
          <w:sz w:val="32"/>
          <w:szCs w:val="32"/>
          <w:lang w:eastAsia="zh-CN"/>
        </w:rPr>
        <w:t>2023</w:t>
      </w:r>
      <w:r>
        <w:rPr>
          <w:rFonts w:eastAsia="仿宋_GB2312" w:hint="eastAsia"/>
          <w:sz w:val="32"/>
          <w:szCs w:val="32"/>
          <w:lang w:eastAsia="zh-CN"/>
        </w:rPr>
        <w:t>年</w:t>
      </w:r>
      <w:r w:rsidRPr="00DE6E54">
        <w:rPr>
          <w:rFonts w:eastAsia="仿宋_GB2312" w:hint="eastAsia"/>
          <w:sz w:val="32"/>
          <w:szCs w:val="32"/>
          <w:lang w:eastAsia="zh-CN"/>
        </w:rPr>
        <w:t>招收</w:t>
      </w:r>
      <w:r w:rsidRPr="00DE6E54"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346</w:t>
      </w:r>
      <w:r w:rsidRPr="00DE6E54">
        <w:rPr>
          <w:rFonts w:eastAsia="仿宋_GB2312" w:hint="eastAsia"/>
          <w:sz w:val="32"/>
          <w:szCs w:val="32"/>
          <w:lang w:eastAsia="zh-CN"/>
        </w:rPr>
        <w:t>名新生，在校生达到</w:t>
      </w:r>
      <w:r w:rsidRPr="00DE6E54">
        <w:rPr>
          <w:rFonts w:eastAsia="仿宋_GB2312" w:hint="eastAsia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567</w:t>
      </w:r>
      <w:r w:rsidRPr="00DE6E54">
        <w:rPr>
          <w:rFonts w:eastAsia="仿宋_GB2312" w:hint="eastAsia"/>
          <w:sz w:val="32"/>
          <w:szCs w:val="32"/>
          <w:lang w:eastAsia="zh-CN"/>
        </w:rPr>
        <w:t>人，高中毕业合格率达</w:t>
      </w:r>
      <w:r w:rsidRPr="00DE6E54">
        <w:rPr>
          <w:rFonts w:eastAsia="仿宋_GB2312" w:hint="eastAsia"/>
          <w:sz w:val="32"/>
          <w:szCs w:val="32"/>
          <w:lang w:eastAsia="zh-CN"/>
        </w:rPr>
        <w:t>100%</w:t>
      </w:r>
      <w:r w:rsidRPr="00DE6E54">
        <w:rPr>
          <w:rFonts w:eastAsia="仿宋_GB2312" w:hint="eastAsia"/>
          <w:sz w:val="32"/>
          <w:szCs w:val="32"/>
          <w:lang w:eastAsia="zh-CN"/>
        </w:rPr>
        <w:t>，本科上线率达</w:t>
      </w:r>
      <w:r w:rsidRPr="00DE6E54">
        <w:rPr>
          <w:rFonts w:eastAsia="仿宋_GB2312" w:hint="eastAsia"/>
          <w:sz w:val="32"/>
          <w:szCs w:val="32"/>
          <w:lang w:eastAsia="zh-CN"/>
        </w:rPr>
        <w:t>9</w:t>
      </w:r>
      <w:r>
        <w:rPr>
          <w:rFonts w:eastAsia="仿宋_GB2312" w:hint="eastAsia"/>
          <w:sz w:val="32"/>
          <w:szCs w:val="32"/>
          <w:lang w:eastAsia="zh-CN"/>
        </w:rPr>
        <w:t>8</w:t>
      </w:r>
      <w:r w:rsidRPr="00DE6E54">
        <w:rPr>
          <w:rFonts w:eastAsia="仿宋_GB2312" w:hint="eastAsia"/>
          <w:sz w:val="32"/>
          <w:szCs w:val="32"/>
          <w:lang w:eastAsia="zh-CN"/>
        </w:rPr>
        <w:t>%</w:t>
      </w:r>
      <w:r w:rsidRPr="00DE6E54">
        <w:rPr>
          <w:rFonts w:eastAsia="仿宋_GB2312" w:hint="eastAsia"/>
          <w:sz w:val="32"/>
          <w:szCs w:val="32"/>
          <w:lang w:eastAsia="zh-CN"/>
        </w:rPr>
        <w:t>。教师素质和学校办学水平进一步提升；教育教学成绩不断提高，学生各类竞赛、评比成绩更好；深化课题研究，促进教学技能发展；文化建设深受社会好评；为国家输送更多的优秀人才</w:t>
      </w:r>
      <w:r>
        <w:rPr>
          <w:rFonts w:eastAsia="仿宋_GB2312" w:hint="eastAsia"/>
          <w:sz w:val="32"/>
          <w:szCs w:val="32"/>
          <w:lang w:eastAsia="zh-CN"/>
        </w:rPr>
        <w:t>。</w:t>
      </w:r>
      <w:r w:rsidRPr="00DE6E54">
        <w:rPr>
          <w:rFonts w:eastAsia="仿宋_GB2312" w:hint="eastAsia"/>
          <w:sz w:val="32"/>
          <w:szCs w:val="32"/>
          <w:lang w:eastAsia="zh-CN"/>
        </w:rPr>
        <w:t>持续开展加强家校联系活动，把</w:t>
      </w:r>
      <w:r w:rsidRPr="00DE6E54">
        <w:rPr>
          <w:rFonts w:eastAsia="仿宋_GB2312" w:hint="eastAsia"/>
          <w:sz w:val="32"/>
          <w:szCs w:val="32"/>
          <w:lang w:eastAsia="zh-CN"/>
        </w:rPr>
        <w:lastRenderedPageBreak/>
        <w:t>教学放在首位，一切为教学服务，办社会、家长、学生满意教育。</w:t>
      </w:r>
      <w:r>
        <w:rPr>
          <w:rFonts w:eastAsia="仿宋_GB2312" w:hint="eastAsia"/>
          <w:sz w:val="32"/>
          <w:szCs w:val="32"/>
          <w:lang w:eastAsia="zh-CN"/>
        </w:rPr>
        <w:t>服务对象满意度达</w:t>
      </w:r>
      <w:r>
        <w:rPr>
          <w:rFonts w:eastAsia="仿宋_GB2312" w:hint="eastAsia"/>
          <w:sz w:val="32"/>
          <w:szCs w:val="32"/>
          <w:lang w:eastAsia="zh-CN"/>
        </w:rPr>
        <w:t>99%</w:t>
      </w:r>
      <w:r>
        <w:rPr>
          <w:rFonts w:eastAsia="仿宋_GB2312" w:hint="eastAsia"/>
          <w:sz w:val="32"/>
          <w:szCs w:val="32"/>
          <w:lang w:eastAsia="zh-CN"/>
        </w:rPr>
        <w:t>。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517FE5" w:rsidRPr="00DE6E54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财务工作是一个单位的命脉，创新机制正逐步加强，要求财务工作水平越来越高。</w:t>
      </w:r>
      <w:r w:rsidRPr="006D3DC9">
        <w:rPr>
          <w:rFonts w:eastAsia="仿宋_GB2312" w:hint="eastAsia"/>
          <w:sz w:val="32"/>
          <w:szCs w:val="32"/>
          <w:lang w:eastAsia="zh-CN"/>
        </w:rPr>
        <w:t xml:space="preserve"> </w:t>
      </w:r>
    </w:p>
    <w:p w:rsidR="00517FE5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学校经费不足，导致优秀教师外流。</w:t>
      </w:r>
    </w:p>
    <w:p w:rsidR="00517FE5" w:rsidRDefault="00517FE5" w:rsidP="00517FE5">
      <w:pPr>
        <w:spacing w:line="600" w:lineRule="exact"/>
        <w:ind w:firstLineChars="200" w:firstLine="640"/>
        <w:jc w:val="both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、各系统间数据填报存在一定的差异性。</w:t>
      </w:r>
    </w:p>
    <w:p w:rsidR="00164CD2" w:rsidRDefault="00164CD2" w:rsidP="00517FE5">
      <w:pPr>
        <w:spacing w:line="60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517FE5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进一步完善财务制度，规范财经纪律，加强财务管理，提高财务工作水平。</w:t>
      </w:r>
    </w:p>
    <w:p w:rsidR="00517FE5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加强财产管理，切实做到账卡相符、账物相符。</w:t>
      </w:r>
    </w:p>
    <w:p w:rsidR="00517FE5" w:rsidRPr="00DE6E54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6D3DC9">
        <w:rPr>
          <w:rFonts w:eastAsia="仿宋_GB2312" w:hint="eastAsia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</w:t>
      </w:r>
      <w:r w:rsidRPr="006D3DC9">
        <w:rPr>
          <w:rFonts w:eastAsia="仿宋_GB2312" w:hint="eastAsia"/>
          <w:sz w:val="32"/>
          <w:szCs w:val="32"/>
          <w:lang w:eastAsia="zh-CN"/>
        </w:rPr>
        <w:t>充实财务人员，加强财务人员培训，不断提高财务人员素质。</w:t>
      </w:r>
    </w:p>
    <w:p w:rsidR="00517FE5" w:rsidRPr="00DE6E54" w:rsidRDefault="00517FE5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、希望上级部门优化各系统间的数据联系，使各系统间数据可以相互比对，提取。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517FE5" w:rsidRPr="00517FE5" w:rsidRDefault="00517FE5" w:rsidP="00164CD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 w:rsidRPr="008E34F2">
        <w:rPr>
          <w:rFonts w:eastAsia="仿宋_GB2312" w:hint="eastAsia"/>
          <w:sz w:val="32"/>
          <w:szCs w:val="32"/>
          <w:lang w:eastAsia="zh-CN"/>
        </w:rPr>
        <w:t>部门整体支出绩效自评依法依规公开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164CD2" w:rsidRDefault="00517FE5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无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、项目支出绩效自评表（每个一级项目支出一张表）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lastRenderedPageBreak/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64CD2" w:rsidRDefault="00164CD2" w:rsidP="00164CD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64CD2" w:rsidRDefault="00164CD2" w:rsidP="00517FE5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sectPr w:rsidR="00164CD2" w:rsidSect="00164CD2">
      <w:footerReference w:type="default" r:id="rId13"/>
      <w:pgSz w:w="11900" w:h="16820"/>
      <w:pgMar w:top="1429" w:right="1782" w:bottom="1158" w:left="1450" w:header="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B6" w:rsidRDefault="002619B6" w:rsidP="009F360C">
      <w:r>
        <w:separator/>
      </w:r>
    </w:p>
  </w:endnote>
  <w:endnote w:type="continuationSeparator" w:id="1">
    <w:p w:rsidR="002619B6" w:rsidRDefault="002619B6" w:rsidP="009F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82F88" w:rsidRDefault="00382F88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619B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619B6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2619B6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82F88" w:rsidRDefault="00382F88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82F88" w:rsidRDefault="00382F88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382F88" w:rsidRDefault="00382F88" w:rsidP="009F360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C" w:rsidRDefault="009F360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164CD2" w:rsidRDefault="00164CD2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164CD2" w:rsidRDefault="00164CD2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88" w:rsidRDefault="00382F88" w:rsidP="009F36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B6" w:rsidRDefault="002619B6" w:rsidP="009F360C">
      <w:r>
        <w:separator/>
      </w:r>
    </w:p>
  </w:footnote>
  <w:footnote w:type="continuationSeparator" w:id="1">
    <w:p w:rsidR="002619B6" w:rsidRDefault="002619B6" w:rsidP="009F3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C" w:rsidRDefault="009F360C" w:rsidP="009F36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C" w:rsidRDefault="009F360C" w:rsidP="009F36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C" w:rsidRDefault="009F360C" w:rsidP="009F36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ThlZDUzZGYxNzYyMDEzOWQ1YTI4MjdmZmM4OTIzOWYifQ=="/>
  </w:docVars>
  <w:rsids>
    <w:rsidRoot w:val="00382F88"/>
    <w:rsid w:val="00164CD2"/>
    <w:rsid w:val="00190533"/>
    <w:rsid w:val="002619B6"/>
    <w:rsid w:val="00382F88"/>
    <w:rsid w:val="00517FE5"/>
    <w:rsid w:val="0064725D"/>
    <w:rsid w:val="00680425"/>
    <w:rsid w:val="009F360C"/>
    <w:rsid w:val="00E73B2B"/>
    <w:rsid w:val="00E750A4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9F360C"/>
    <w:pPr>
      <w:kinsoku w:val="0"/>
      <w:autoSpaceDE w:val="0"/>
      <w:autoSpaceDN w:val="0"/>
      <w:adjustRightInd w:val="0"/>
      <w:snapToGrid w:val="0"/>
      <w:ind w:firstLine="420"/>
      <w:jc w:val="center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382F88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382F88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382F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382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382F88"/>
  </w:style>
  <w:style w:type="paragraph" w:styleId="a6">
    <w:name w:val="List Paragraph"/>
    <w:autoRedefine/>
    <w:uiPriority w:val="99"/>
    <w:unhideWhenUsed/>
    <w:qFormat/>
    <w:rsid w:val="00382F88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"/>
    <w:rsid w:val="009F360C"/>
    <w:rPr>
      <w:sz w:val="18"/>
      <w:szCs w:val="18"/>
    </w:rPr>
  </w:style>
  <w:style w:type="character" w:customStyle="1" w:styleId="Char">
    <w:name w:val="批注框文本 Char"/>
    <w:basedOn w:val="a0"/>
    <w:link w:val="a7"/>
    <w:rsid w:val="009F360C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2024-05-21T14:05:00Z</cp:lastPrinted>
  <dcterms:created xsi:type="dcterms:W3CDTF">2024-10-12T01:26:00Z</dcterms:created>
  <dcterms:modified xsi:type="dcterms:W3CDTF">2024-10-12T01:45:00Z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