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14:paraId="1D47B169">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23</w:t>
            </w:r>
          </w:p>
        </w:tc>
        <w:tc>
          <w:tcPr>
            <w:tcW w:w="1983" w:type="dxa"/>
            <w:gridSpan w:val="2"/>
            <w:vAlign w:val="center"/>
          </w:tcPr>
          <w:p w14:paraId="06F2846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2.14</w:t>
            </w:r>
          </w:p>
        </w:tc>
        <w:tc>
          <w:tcPr>
            <w:tcW w:w="2039" w:type="dxa"/>
            <w:gridSpan w:val="2"/>
            <w:vAlign w:val="center"/>
          </w:tcPr>
          <w:p w14:paraId="1D6514EA">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4.1</w:t>
            </w:r>
          </w:p>
        </w:tc>
        <w:tc>
          <w:tcPr>
            <w:tcW w:w="1983" w:type="dxa"/>
            <w:gridSpan w:val="2"/>
            <w:vAlign w:val="center"/>
          </w:tcPr>
          <w:p w14:paraId="7DFA6482">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4.1</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2.14</w:t>
            </w:r>
          </w:p>
        </w:tc>
        <w:tc>
          <w:tcPr>
            <w:tcW w:w="2039" w:type="dxa"/>
            <w:gridSpan w:val="2"/>
            <w:vAlign w:val="center"/>
          </w:tcPr>
          <w:p w14:paraId="672289A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4.1</w:t>
            </w:r>
          </w:p>
        </w:tc>
        <w:tc>
          <w:tcPr>
            <w:tcW w:w="1983" w:type="dxa"/>
            <w:gridSpan w:val="2"/>
            <w:vAlign w:val="center"/>
          </w:tcPr>
          <w:p w14:paraId="7985B411">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4.1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840" w:firstLineChars="400"/>
              <w:jc w:val="both"/>
              <w:rPr>
                <w:rFonts w:ascii="仿宋_GB2312" w:eastAsia="仿宋_GB2312"/>
                <w:kern w:val="0"/>
              </w:rPr>
            </w:pPr>
            <w:r>
              <w:rPr>
                <w:rFonts w:hint="eastAsia" w:ascii="仿宋_GB2312" w:eastAsia="仿宋_GB2312"/>
                <w:kern w:val="0"/>
              </w:rPr>
              <w:t>178.27</w:t>
            </w:r>
          </w:p>
        </w:tc>
        <w:tc>
          <w:tcPr>
            <w:tcW w:w="2039" w:type="dxa"/>
            <w:gridSpan w:val="2"/>
            <w:vAlign w:val="center"/>
          </w:tcPr>
          <w:p w14:paraId="56A401C1">
            <w:pPr>
              <w:spacing w:line="240" w:lineRule="auto"/>
              <w:ind w:firstLine="840" w:firstLineChars="400"/>
              <w:jc w:val="both"/>
              <w:rPr>
                <w:rFonts w:ascii="仿宋_GB2312" w:eastAsia="仿宋_GB2312"/>
                <w:kern w:val="0"/>
              </w:rPr>
            </w:pPr>
            <w:r>
              <w:rPr>
                <w:rFonts w:hint="eastAsia" w:ascii="仿宋_GB2312" w:eastAsia="仿宋_GB2312"/>
                <w:kern w:val="0"/>
              </w:rPr>
              <w:t>224</w:t>
            </w:r>
          </w:p>
        </w:tc>
        <w:tc>
          <w:tcPr>
            <w:tcW w:w="1983" w:type="dxa"/>
            <w:gridSpan w:val="2"/>
            <w:vAlign w:val="center"/>
          </w:tcPr>
          <w:p w14:paraId="7E496EB6">
            <w:pPr>
              <w:spacing w:line="240" w:lineRule="auto"/>
              <w:ind w:firstLine="630" w:firstLineChars="300"/>
              <w:jc w:val="both"/>
              <w:rPr>
                <w:rFonts w:ascii="仿宋_GB2312" w:eastAsia="仿宋_GB2312"/>
                <w:kern w:val="0"/>
              </w:rPr>
            </w:pPr>
            <w:r>
              <w:rPr>
                <w:rFonts w:hint="eastAsia" w:ascii="仿宋_GB2312" w:eastAsia="仿宋_GB2312"/>
                <w:kern w:val="0"/>
              </w:rPr>
              <w:t>257.91</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840" w:firstLineChars="400"/>
              <w:jc w:val="both"/>
              <w:rPr>
                <w:rFonts w:ascii="仿宋_GB2312" w:eastAsia="仿宋_GB2312"/>
                <w:kern w:val="0"/>
              </w:rPr>
            </w:pPr>
            <w:r>
              <w:rPr>
                <w:rFonts w:hint="eastAsia" w:ascii="仿宋_GB2312" w:eastAsia="仿宋_GB2312"/>
                <w:kern w:val="0"/>
              </w:rPr>
              <w:t>178.27</w:t>
            </w:r>
          </w:p>
        </w:tc>
        <w:tc>
          <w:tcPr>
            <w:tcW w:w="2039" w:type="dxa"/>
            <w:gridSpan w:val="2"/>
            <w:vAlign w:val="center"/>
          </w:tcPr>
          <w:p w14:paraId="142DDA3A">
            <w:pPr>
              <w:spacing w:line="240" w:lineRule="auto"/>
              <w:ind w:firstLine="840" w:firstLineChars="400"/>
              <w:jc w:val="both"/>
              <w:rPr>
                <w:rFonts w:ascii="仿宋_GB2312" w:eastAsia="仿宋_GB2312"/>
                <w:kern w:val="0"/>
              </w:rPr>
            </w:pPr>
            <w:r>
              <w:rPr>
                <w:rFonts w:hint="eastAsia" w:ascii="仿宋_GB2312" w:eastAsia="仿宋_GB2312"/>
                <w:kern w:val="0"/>
              </w:rPr>
              <w:t>224</w:t>
            </w:r>
          </w:p>
        </w:tc>
        <w:tc>
          <w:tcPr>
            <w:tcW w:w="1983" w:type="dxa"/>
            <w:gridSpan w:val="2"/>
            <w:vAlign w:val="center"/>
          </w:tcPr>
          <w:p w14:paraId="2E8DC00D">
            <w:pPr>
              <w:spacing w:line="240" w:lineRule="auto"/>
              <w:ind w:firstLine="630" w:firstLineChars="300"/>
              <w:jc w:val="both"/>
              <w:rPr>
                <w:rFonts w:ascii="仿宋_GB2312" w:eastAsia="仿宋_GB2312"/>
                <w:kern w:val="0"/>
              </w:rPr>
            </w:pPr>
            <w:r>
              <w:rPr>
                <w:rFonts w:hint="eastAsia" w:ascii="仿宋_GB2312" w:eastAsia="仿宋_GB2312"/>
                <w:kern w:val="0"/>
              </w:rPr>
              <w:t>257.91</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50.54</w:t>
            </w:r>
          </w:p>
        </w:tc>
        <w:tc>
          <w:tcPr>
            <w:tcW w:w="2039" w:type="dxa"/>
            <w:gridSpan w:val="2"/>
            <w:vAlign w:val="center"/>
          </w:tcPr>
          <w:p w14:paraId="050E075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36.86</w:t>
            </w:r>
          </w:p>
        </w:tc>
        <w:tc>
          <w:tcPr>
            <w:tcW w:w="1983" w:type="dxa"/>
            <w:gridSpan w:val="2"/>
            <w:vAlign w:val="center"/>
          </w:tcPr>
          <w:p w14:paraId="7357305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87.07</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5.22</w:t>
            </w:r>
          </w:p>
        </w:tc>
        <w:tc>
          <w:tcPr>
            <w:tcW w:w="2039" w:type="dxa"/>
            <w:gridSpan w:val="2"/>
            <w:vAlign w:val="center"/>
          </w:tcPr>
          <w:p w14:paraId="7BB02F1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26.57</w:t>
            </w:r>
          </w:p>
        </w:tc>
        <w:tc>
          <w:tcPr>
            <w:tcW w:w="1983" w:type="dxa"/>
            <w:gridSpan w:val="2"/>
            <w:vAlign w:val="center"/>
          </w:tcPr>
          <w:p w14:paraId="087A3549">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15.03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4.40</w:t>
            </w:r>
          </w:p>
        </w:tc>
        <w:tc>
          <w:tcPr>
            <w:tcW w:w="2039" w:type="dxa"/>
            <w:gridSpan w:val="2"/>
            <w:vAlign w:val="center"/>
          </w:tcPr>
          <w:p w14:paraId="31E21FE8">
            <w:pPr>
              <w:spacing w:line="240" w:lineRule="auto"/>
              <w:ind w:firstLine="840" w:firstLineChars="400"/>
              <w:jc w:val="both"/>
              <w:rPr>
                <w:rFonts w:hint="eastAsia" w:ascii="仿宋_GB2312" w:eastAsia="仿宋_GB2312"/>
                <w:kern w:val="0"/>
                <w:lang w:val="en-US" w:eastAsia="zh-CN"/>
              </w:rPr>
            </w:pPr>
          </w:p>
        </w:tc>
        <w:tc>
          <w:tcPr>
            <w:tcW w:w="1983" w:type="dxa"/>
            <w:gridSpan w:val="2"/>
            <w:vAlign w:val="center"/>
          </w:tcPr>
          <w:p w14:paraId="4FD7453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8.95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1.17</w:t>
            </w:r>
          </w:p>
        </w:tc>
        <w:tc>
          <w:tcPr>
            <w:tcW w:w="2039" w:type="dxa"/>
            <w:gridSpan w:val="2"/>
            <w:vAlign w:val="center"/>
          </w:tcPr>
          <w:p w14:paraId="467174B3">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14:paraId="550E4F9D">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0.68</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8AD1802">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125</w:t>
            </w:r>
          </w:p>
        </w:tc>
        <w:tc>
          <w:tcPr>
            <w:tcW w:w="1983" w:type="dxa"/>
            <w:gridSpan w:val="2"/>
            <w:vAlign w:val="center"/>
          </w:tcPr>
          <w:p w14:paraId="4363E711">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spacing w:line="240" w:lineRule="auto"/>
              <w:ind w:firstLine="210" w:firstLineChars="100"/>
              <w:jc w:val="both"/>
              <w:rPr>
                <w:rFonts w:ascii="Arial" w:hAnsi="Arial" w:eastAsia="Arial" w:cs="Arial"/>
                <w:snapToGrid w:val="0"/>
                <w:color w:val="000000"/>
                <w:sz w:val="21"/>
                <w:szCs w:val="21"/>
                <w:lang w:val="en-US" w:eastAsia="en-US" w:bidi="ar-SA"/>
              </w:rPr>
            </w:pPr>
            <w:r>
              <w:rPr>
                <w:rFonts w:hint="eastAsia" w:ascii="仿宋_GB2312" w:eastAsia="仿宋_GB2312"/>
                <w:kern w:val="0"/>
                <w:lang w:val="en-US" w:eastAsia="en-US"/>
              </w:rPr>
              <w:t>1、节俭务实办会。简化会议流程，确保会议规范简朴、务实高效；2、严控差旅活动。强化出差申请流程，严格管理差旅费用；3、压减经费开支。节约办公成本，减少不必要的开支，推行节约行动，控制照明、空调温度等，节约用电。</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BD92C23">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汩罗市统计局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jc w:val="center"/>
              <w:rPr>
                <w:rFonts w:hint="eastAsia" w:ascii="仿宋_GB2312" w:eastAsia="仿宋_GB2312"/>
                <w:kern w:val="0"/>
              </w:rPr>
            </w:pPr>
            <w:r>
              <w:rPr>
                <w:rFonts w:hint="default" w:ascii="仿宋_GB2312" w:eastAsia="仿宋_GB2312"/>
                <w:kern w:val="0"/>
                <w:lang w:val="en-US" w:eastAsia="zh-CN"/>
              </w:rPr>
              <w:t>474.28</w:t>
            </w:r>
          </w:p>
        </w:tc>
        <w:tc>
          <w:tcPr>
            <w:tcW w:w="1298" w:type="dxa"/>
            <w:vAlign w:val="center"/>
          </w:tcPr>
          <w:p w14:paraId="78350D28">
            <w:pPr>
              <w:spacing w:line="240" w:lineRule="auto"/>
              <w:jc w:val="center"/>
              <w:rPr>
                <w:rFonts w:hint="eastAsia" w:ascii="仿宋_GB2312" w:eastAsia="仿宋_GB2312"/>
                <w:kern w:val="0"/>
              </w:rPr>
            </w:pPr>
            <w:r>
              <w:rPr>
                <w:rFonts w:hint="default" w:ascii="仿宋_GB2312" w:eastAsia="仿宋_GB2312"/>
                <w:kern w:val="0"/>
                <w:lang w:val="en-US" w:eastAsia="zh-CN"/>
              </w:rPr>
              <w:t>670.98</w:t>
            </w:r>
          </w:p>
        </w:tc>
        <w:tc>
          <w:tcPr>
            <w:tcW w:w="1269" w:type="dxa"/>
            <w:vAlign w:val="center"/>
          </w:tcPr>
          <w:p w14:paraId="5FDA3D24">
            <w:pPr>
              <w:spacing w:line="240" w:lineRule="auto"/>
              <w:jc w:val="center"/>
              <w:rPr>
                <w:rFonts w:hint="eastAsia" w:ascii="仿宋_GB2312" w:eastAsia="仿宋_GB2312"/>
                <w:kern w:val="0"/>
              </w:rPr>
            </w:pPr>
            <w:r>
              <w:rPr>
                <w:rFonts w:hint="default" w:ascii="仿宋_GB2312" w:eastAsia="仿宋_GB2312"/>
                <w:kern w:val="0"/>
                <w:lang w:val="en-US" w:eastAsia="zh-CN"/>
              </w:rPr>
              <w:t>670.98</w:t>
            </w:r>
          </w:p>
        </w:tc>
        <w:tc>
          <w:tcPr>
            <w:tcW w:w="699" w:type="dxa"/>
            <w:vAlign w:val="center"/>
          </w:tcPr>
          <w:p w14:paraId="47D16717">
            <w:pPr>
              <w:spacing w:line="240" w:lineRule="auto"/>
              <w:jc w:val="center"/>
              <w:rPr>
                <w:rFonts w:hint="eastAsia"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center"/>
              <w:rPr>
                <w:rFonts w:hint="eastAsia" w:ascii="仿宋_GB2312" w:eastAsia="仿宋_GB2312"/>
                <w:kern w:val="0"/>
              </w:rPr>
            </w:pPr>
            <w:r>
              <w:rPr>
                <w:rFonts w:hint="default" w:ascii="仿宋_GB2312" w:eastAsia="仿宋_GB2312"/>
                <w:kern w:val="0"/>
                <w:lang w:val="en-US" w:eastAsia="zh-CN"/>
              </w:rPr>
              <w:t>100.00%</w:t>
            </w:r>
          </w:p>
        </w:tc>
        <w:tc>
          <w:tcPr>
            <w:tcW w:w="1423" w:type="dxa"/>
            <w:vAlign w:val="center"/>
          </w:tcPr>
          <w:p w14:paraId="4BE68CE2">
            <w:pPr>
              <w:spacing w:line="240" w:lineRule="auto"/>
              <w:jc w:val="center"/>
              <w:rPr>
                <w:rFonts w:hint="eastAsia" w:ascii="仿宋_GB2312" w:eastAsia="仿宋_GB2312"/>
                <w:kern w:val="0"/>
              </w:rPr>
            </w:pPr>
            <w:r>
              <w:rPr>
                <w:rFonts w:hint="default" w:ascii="仿宋_GB2312" w:eastAsia="仿宋_GB2312"/>
                <w:kern w:val="0"/>
                <w:lang w:val="en-US" w:eastAsia="zh-CN"/>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其中：一般公共预算：670.98</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其中：基本支出：413.07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项目支出：257.91</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7CD22D00">
            <w:pPr>
              <w:spacing w:line="240" w:lineRule="auto"/>
              <w:jc w:val="left"/>
              <w:rPr>
                <w:rFonts w:hint="eastAsia" w:ascii="仿宋_GB2312" w:eastAsia="仿宋_GB2312"/>
                <w:kern w:val="0"/>
              </w:rPr>
            </w:pPr>
            <w:r>
              <w:rPr>
                <w:rFonts w:hint="eastAsia" w:ascii="仿宋_GB2312" w:eastAsia="仿宋_GB2312"/>
                <w:kern w:val="0"/>
              </w:rPr>
              <w:t xml:space="preserve">任务1：第五次经济普查工作：高质量数据处理.                                         任务2：联网直报工作：高质量、高标准、高效率守完成各专业报表工作。            </w:t>
            </w:r>
          </w:p>
          <w:p w14:paraId="16F732DA">
            <w:pPr>
              <w:spacing w:line="240" w:lineRule="auto"/>
              <w:jc w:val="left"/>
              <w:rPr>
                <w:rFonts w:hint="eastAsia" w:ascii="仿宋_GB2312" w:eastAsia="仿宋_GB2312"/>
                <w:kern w:val="0"/>
              </w:rPr>
            </w:pPr>
            <w:r>
              <w:rPr>
                <w:rFonts w:hint="eastAsia" w:ascii="仿宋_GB2312" w:eastAsia="仿宋_GB2312"/>
                <w:kern w:val="0"/>
              </w:rPr>
              <w:t xml:space="preserve">任务3：四上申报工作：如期如质超额完成岳阳市局下达的作务。                    </w:t>
            </w:r>
          </w:p>
          <w:p w14:paraId="5630C8FD">
            <w:pPr>
              <w:spacing w:line="240" w:lineRule="auto"/>
              <w:jc w:val="left"/>
              <w:rPr>
                <w:rFonts w:ascii="仿宋_GB2312" w:eastAsia="仿宋_GB2312"/>
                <w:kern w:val="0"/>
              </w:rPr>
            </w:pPr>
            <w:r>
              <w:rPr>
                <w:rFonts w:hint="eastAsia" w:ascii="仿宋_GB2312" w:eastAsia="仿宋_GB2312"/>
                <w:kern w:val="0"/>
              </w:rPr>
              <w:t>任务4：社会公众满意调查：如实如期完成调查任务。</w:t>
            </w:r>
          </w:p>
        </w:tc>
        <w:tc>
          <w:tcPr>
            <w:tcW w:w="4260" w:type="dxa"/>
            <w:gridSpan w:val="4"/>
            <w:vAlign w:val="center"/>
          </w:tcPr>
          <w:p w14:paraId="5DC6F984">
            <w:pPr>
              <w:tabs>
                <w:tab w:val="left" w:pos="1702"/>
              </w:tabs>
              <w:spacing w:line="240" w:lineRule="auto"/>
              <w:jc w:val="both"/>
              <w:rPr>
                <w:rFonts w:hint="eastAsia" w:ascii="仿宋_GB2312" w:eastAsia="仿宋_GB2312"/>
                <w:kern w:val="0"/>
                <w:lang w:eastAsia="zh-CN"/>
              </w:rPr>
            </w:pPr>
            <w:r>
              <w:rPr>
                <w:rFonts w:hint="eastAsia" w:ascii="仿宋_GB2312" w:eastAsia="仿宋_GB2312"/>
                <w:kern w:val="0"/>
                <w:lang w:eastAsia="zh-CN"/>
              </w:rPr>
              <w:t xml:space="preserve">任务1：第五次经济普查工作：高质量数据处理.                                         任务2：联网直报工作：高质量、高标准、高效率守完成各专业报表工作。            </w:t>
            </w:r>
          </w:p>
          <w:p w14:paraId="0FF3871D">
            <w:pPr>
              <w:tabs>
                <w:tab w:val="left" w:pos="1702"/>
              </w:tabs>
              <w:spacing w:line="240" w:lineRule="auto"/>
              <w:jc w:val="both"/>
              <w:rPr>
                <w:rFonts w:hint="eastAsia" w:ascii="仿宋_GB2312" w:eastAsia="仿宋_GB2312"/>
                <w:kern w:val="0"/>
                <w:lang w:eastAsia="zh-CN"/>
              </w:rPr>
            </w:pPr>
            <w:r>
              <w:rPr>
                <w:rFonts w:hint="eastAsia" w:ascii="仿宋_GB2312" w:eastAsia="仿宋_GB2312"/>
                <w:kern w:val="0"/>
                <w:lang w:eastAsia="zh-CN"/>
              </w:rPr>
              <w:t xml:space="preserve">任务3：四上申报工作：如期如质超额完成岳阳市局下达的作务。                    </w:t>
            </w:r>
          </w:p>
          <w:p w14:paraId="156E0DC0">
            <w:pPr>
              <w:tabs>
                <w:tab w:val="left" w:pos="1702"/>
              </w:tabs>
              <w:spacing w:line="240" w:lineRule="auto"/>
              <w:jc w:val="both"/>
              <w:rPr>
                <w:rFonts w:hint="eastAsia" w:ascii="仿宋_GB2312" w:eastAsia="仿宋_GB2312"/>
                <w:kern w:val="0"/>
                <w:lang w:eastAsia="zh-CN"/>
              </w:rPr>
            </w:pPr>
            <w:r>
              <w:rPr>
                <w:rFonts w:hint="eastAsia" w:ascii="仿宋_GB2312" w:eastAsia="仿宋_GB2312"/>
                <w:kern w:val="0"/>
                <w:lang w:eastAsia="zh-CN"/>
              </w:rPr>
              <w:t>任务4：社会公众满意调查：如实如期完成调查任务。</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收集统计报表数据率</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717B7C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检查、纠正统计违法事件</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4266548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企业联网直报</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0982B11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统计执法检查</w:t>
            </w:r>
          </w:p>
        </w:tc>
        <w:tc>
          <w:tcPr>
            <w:tcW w:w="1298" w:type="dxa"/>
            <w:vAlign w:val="center"/>
          </w:tcPr>
          <w:p w14:paraId="33DF5A21">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F080A08">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155F4AE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A22618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按时完成报表上报率</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5DA3483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指导三次产业科学合理健康分布</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C58B9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为政府决策和部门行政提供依据</w:t>
            </w:r>
          </w:p>
        </w:tc>
        <w:tc>
          <w:tcPr>
            <w:tcW w:w="1298" w:type="dxa"/>
            <w:vAlign w:val="center"/>
          </w:tcPr>
          <w:p w14:paraId="54DB100B">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0D8D424">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12404D4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6DE220A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为部门单位提供统计数据</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3309901E">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4D65F265">
            <w:pPr>
              <w:spacing w:line="240" w:lineRule="auto"/>
              <w:ind w:firstLine="420"/>
              <w:jc w:val="center"/>
              <w:rPr>
                <w:rFonts w:ascii="仿宋_GB2312" w:eastAsia="仿宋_GB2312"/>
                <w:kern w:val="0"/>
              </w:rPr>
            </w:pPr>
          </w:p>
        </w:tc>
      </w:tr>
      <w:tr w14:paraId="695F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D48F2B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AA2BBAE">
            <w:pPr>
              <w:spacing w:line="240" w:lineRule="auto"/>
              <w:ind w:firstLine="420"/>
              <w:jc w:val="center"/>
              <w:rPr>
                <w:rFonts w:ascii="仿宋_GB2312" w:eastAsia="仿宋_GB2312"/>
                <w:kern w:val="0"/>
              </w:rPr>
            </w:pPr>
          </w:p>
        </w:tc>
        <w:tc>
          <w:tcPr>
            <w:tcW w:w="1029" w:type="dxa"/>
            <w:vMerge w:val="continue"/>
            <w:vAlign w:val="center"/>
          </w:tcPr>
          <w:p w14:paraId="27DCB440">
            <w:pPr>
              <w:spacing w:line="240" w:lineRule="auto"/>
              <w:jc w:val="center"/>
              <w:rPr>
                <w:rFonts w:hint="eastAsia" w:ascii="仿宋_GB2312" w:hAnsi="宋体" w:eastAsia="仿宋_GB2312" w:cs="宋体"/>
                <w:kern w:val="0"/>
              </w:rPr>
            </w:pPr>
          </w:p>
        </w:tc>
        <w:tc>
          <w:tcPr>
            <w:tcW w:w="1249" w:type="dxa"/>
            <w:vAlign w:val="center"/>
          </w:tcPr>
          <w:p w14:paraId="5C00A95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了解民众对社会的满意度</w:t>
            </w:r>
          </w:p>
        </w:tc>
        <w:tc>
          <w:tcPr>
            <w:tcW w:w="1298" w:type="dxa"/>
            <w:vAlign w:val="center"/>
          </w:tcPr>
          <w:p w14:paraId="081B34D0">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6D7AEC86">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3A6056E">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3D0C2C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7FB771B">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37EC19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检验统计数据公信力</w:t>
            </w:r>
          </w:p>
        </w:tc>
        <w:tc>
          <w:tcPr>
            <w:tcW w:w="1298" w:type="dxa"/>
            <w:vAlign w:val="center"/>
          </w:tcPr>
          <w:p w14:paraId="610F1A26">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AC02997">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6C66ED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4AC2896">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ind w:firstLine="420"/>
              <w:jc w:val="center"/>
              <w:rPr>
                <w:rFonts w:ascii="仿宋_GB2312" w:eastAsia="仿宋_GB2312"/>
                <w:kern w:val="0"/>
              </w:rPr>
            </w:pPr>
          </w:p>
        </w:tc>
        <w:tc>
          <w:tcPr>
            <w:tcW w:w="699" w:type="dxa"/>
            <w:vAlign w:val="center"/>
          </w:tcPr>
          <w:p w14:paraId="6A822248">
            <w:pPr>
              <w:spacing w:line="240" w:lineRule="auto"/>
              <w:ind w:firstLine="420"/>
              <w:jc w:val="center"/>
              <w:rPr>
                <w:rFonts w:ascii="仿宋_GB2312" w:eastAsia="仿宋_GB2312"/>
                <w:kern w:val="0"/>
              </w:rPr>
            </w:pPr>
          </w:p>
        </w:tc>
        <w:tc>
          <w:tcPr>
            <w:tcW w:w="869" w:type="dxa"/>
            <w:vAlign w:val="center"/>
          </w:tcPr>
          <w:p w14:paraId="73C931F8">
            <w:pPr>
              <w:spacing w:line="240" w:lineRule="auto"/>
              <w:ind w:firstLine="420"/>
              <w:jc w:val="center"/>
              <w:rPr>
                <w:rFonts w:ascii="仿宋_GB2312" w:eastAsia="仿宋_GB2312"/>
                <w:kern w:val="0"/>
              </w:rPr>
            </w:pP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群众满意率</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1D3F37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9FFC8CC">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2023年支出控制在预算内</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2BD2B9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786F430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210" w:firstLineChars="100"/>
              <w:jc w:val="both"/>
              <w:rPr>
                <w:rFonts w:ascii="仿宋_GB2312" w:eastAsia="仿宋_GB2312"/>
                <w:kern w:val="0"/>
              </w:rPr>
            </w:pPr>
            <w:r>
              <w:rPr>
                <w:rFonts w:hint="eastAsia" w:ascii="仿宋_GB2312" w:eastAsia="仿宋_GB2312"/>
                <w:kern w:val="0"/>
              </w:rPr>
              <w:t>100</w:t>
            </w:r>
          </w:p>
        </w:tc>
        <w:tc>
          <w:tcPr>
            <w:tcW w:w="1423" w:type="dxa"/>
            <w:vAlign w:val="center"/>
          </w:tcPr>
          <w:p w14:paraId="74074F36">
            <w:pPr>
              <w:spacing w:line="240" w:lineRule="auto"/>
              <w:ind w:firstLine="420"/>
              <w:jc w:val="both"/>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业务工作经费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汨罗市财政局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汩罗市统计局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224</w:t>
            </w:r>
          </w:p>
        </w:tc>
        <w:tc>
          <w:tcPr>
            <w:tcW w:w="1099" w:type="dxa"/>
            <w:vAlign w:val="center"/>
          </w:tcPr>
          <w:p w14:paraId="54320DCC">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257.91</w:t>
            </w:r>
          </w:p>
        </w:tc>
        <w:tc>
          <w:tcPr>
            <w:tcW w:w="1099" w:type="dxa"/>
            <w:vAlign w:val="center"/>
          </w:tcPr>
          <w:p w14:paraId="0C9E823D">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257.91</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7A8C638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224</w:t>
            </w:r>
          </w:p>
        </w:tc>
        <w:tc>
          <w:tcPr>
            <w:tcW w:w="1099" w:type="dxa"/>
            <w:vAlign w:val="center"/>
          </w:tcPr>
          <w:p w14:paraId="5536407E">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257.91</w:t>
            </w:r>
          </w:p>
        </w:tc>
        <w:tc>
          <w:tcPr>
            <w:tcW w:w="1099" w:type="dxa"/>
            <w:vAlign w:val="center"/>
          </w:tcPr>
          <w:p w14:paraId="0401DF6C">
            <w:pPr>
              <w:spacing w:line="240" w:lineRule="auto"/>
              <w:ind w:firstLine="420"/>
              <w:jc w:val="both"/>
              <w:rPr>
                <w:rFonts w:ascii="仿宋_GB2312" w:hAnsi="宋体" w:eastAsia="仿宋_GB2312" w:cs="宋体"/>
                <w:kern w:val="0"/>
                <w:lang w:eastAsia="zh-CN"/>
              </w:rPr>
            </w:pPr>
            <w:r>
              <w:rPr>
                <w:rFonts w:hint="eastAsia" w:ascii="仿宋_GB2312" w:eastAsia="仿宋_GB2312"/>
                <w:kern w:val="0"/>
              </w:rPr>
              <w:t>257.91</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1785B7F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对全各行各业经济指标监测</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对全各行各业经济指标监测</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收集统计报表数据率</w:t>
            </w:r>
          </w:p>
        </w:tc>
        <w:tc>
          <w:tcPr>
            <w:tcW w:w="1099" w:type="dxa"/>
            <w:vAlign w:val="center"/>
          </w:tcPr>
          <w:p w14:paraId="54B9394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7F49710C">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50DEC19">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检查、纠正统计违法事件</w:t>
            </w:r>
          </w:p>
        </w:tc>
        <w:tc>
          <w:tcPr>
            <w:tcW w:w="1099" w:type="dxa"/>
            <w:vAlign w:val="center"/>
          </w:tcPr>
          <w:p w14:paraId="29CCEED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70F41D2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662F704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676686A6">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企业联网直报</w:t>
            </w:r>
          </w:p>
        </w:tc>
        <w:tc>
          <w:tcPr>
            <w:tcW w:w="1099" w:type="dxa"/>
            <w:vAlign w:val="center"/>
          </w:tcPr>
          <w:p w14:paraId="2D69FB3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3BC31E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DC8615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统计执法检查</w:t>
            </w:r>
          </w:p>
        </w:tc>
        <w:tc>
          <w:tcPr>
            <w:tcW w:w="1099" w:type="dxa"/>
            <w:vAlign w:val="center"/>
          </w:tcPr>
          <w:p w14:paraId="29C293E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1620D8F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1CFE771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82C2D1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vAlign w:val="center"/>
          </w:tcPr>
          <w:p w14:paraId="724A960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按时完成报表上报率</w:t>
            </w:r>
          </w:p>
        </w:tc>
        <w:tc>
          <w:tcPr>
            <w:tcW w:w="1099" w:type="dxa"/>
            <w:vAlign w:val="center"/>
          </w:tcPr>
          <w:p w14:paraId="015D039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5C21687F">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0D16C33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jc w:val="center"/>
              <w:rPr>
                <w:rFonts w:hint="eastAsia" w:ascii="仿宋_GB2312" w:hAnsi="宋体" w:eastAsia="仿宋_GB2312" w:cs="宋体"/>
                <w:kern w:val="0"/>
              </w:rPr>
            </w:pPr>
          </w:p>
        </w:tc>
        <w:tc>
          <w:tcPr>
            <w:tcW w:w="1099" w:type="dxa"/>
            <w:vAlign w:val="center"/>
          </w:tcPr>
          <w:p w14:paraId="7E44AA5B">
            <w:pPr>
              <w:spacing w:line="240" w:lineRule="auto"/>
              <w:jc w:val="center"/>
              <w:rPr>
                <w:rFonts w:ascii="仿宋_GB2312" w:hAnsi="宋体" w:eastAsia="仿宋_GB2312" w:cs="宋体"/>
                <w:kern w:val="0"/>
              </w:rPr>
            </w:pPr>
          </w:p>
        </w:tc>
        <w:tc>
          <w:tcPr>
            <w:tcW w:w="1099" w:type="dxa"/>
            <w:vAlign w:val="center"/>
          </w:tcPr>
          <w:p w14:paraId="00736A60">
            <w:pPr>
              <w:spacing w:line="240" w:lineRule="auto"/>
              <w:jc w:val="center"/>
              <w:rPr>
                <w:rFonts w:ascii="仿宋_GB2312" w:hAnsi="宋体" w:eastAsia="仿宋_GB2312" w:cs="宋体"/>
                <w:kern w:val="0"/>
              </w:rPr>
            </w:pPr>
          </w:p>
        </w:tc>
        <w:tc>
          <w:tcPr>
            <w:tcW w:w="809" w:type="dxa"/>
            <w:vAlign w:val="center"/>
          </w:tcPr>
          <w:p w14:paraId="13AFCFC5">
            <w:pPr>
              <w:spacing w:line="240" w:lineRule="auto"/>
              <w:jc w:val="center"/>
              <w:rPr>
                <w:rFonts w:ascii="仿宋_GB2312" w:hAnsi="宋体" w:eastAsia="仿宋_GB2312" w:cs="宋体"/>
                <w:kern w:val="0"/>
              </w:rPr>
            </w:pPr>
          </w:p>
        </w:tc>
        <w:tc>
          <w:tcPr>
            <w:tcW w:w="849" w:type="dxa"/>
            <w:vAlign w:val="center"/>
          </w:tcPr>
          <w:p w14:paraId="5322DFE5">
            <w:pPr>
              <w:spacing w:line="240" w:lineRule="auto"/>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为政府决策和部门行政提供依据</w:t>
            </w:r>
          </w:p>
        </w:tc>
        <w:tc>
          <w:tcPr>
            <w:tcW w:w="1099" w:type="dxa"/>
            <w:vAlign w:val="center"/>
          </w:tcPr>
          <w:p w14:paraId="53928C3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D883DDF">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958485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指导三次产业科学合理健康分布</w:t>
            </w:r>
          </w:p>
        </w:tc>
        <w:tc>
          <w:tcPr>
            <w:tcW w:w="1099" w:type="dxa"/>
            <w:vAlign w:val="center"/>
          </w:tcPr>
          <w:p w14:paraId="2C0C58B6">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76658D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3D83AE10">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6B84A56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为部门单位提供统计数据</w:t>
            </w:r>
          </w:p>
        </w:tc>
        <w:tc>
          <w:tcPr>
            <w:tcW w:w="1099" w:type="dxa"/>
            <w:vAlign w:val="center"/>
          </w:tcPr>
          <w:p w14:paraId="0187539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101F8DE">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699C14AF">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665EFF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5.00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检验统计数据公信力</w:t>
            </w:r>
          </w:p>
        </w:tc>
        <w:tc>
          <w:tcPr>
            <w:tcW w:w="1099" w:type="dxa"/>
            <w:vAlign w:val="center"/>
          </w:tcPr>
          <w:p w14:paraId="77BC489E">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7115F4A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063BB88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2493074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5.00</w:t>
            </w: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center"/>
              <w:rPr>
                <w:rFonts w:hint="eastAsia" w:ascii="仿宋_GB2312" w:hAnsi="宋体" w:eastAsia="仿宋_GB2312" w:cs="宋体"/>
                <w:kern w:val="0"/>
              </w:rPr>
            </w:pPr>
          </w:p>
        </w:tc>
        <w:tc>
          <w:tcPr>
            <w:tcW w:w="1099" w:type="dxa"/>
            <w:vAlign w:val="center"/>
          </w:tcPr>
          <w:p w14:paraId="286C2197">
            <w:pPr>
              <w:spacing w:line="240" w:lineRule="auto"/>
              <w:jc w:val="center"/>
              <w:rPr>
                <w:rFonts w:ascii="仿宋_GB2312" w:hAnsi="宋体" w:eastAsia="仿宋_GB2312" w:cs="宋体"/>
                <w:kern w:val="0"/>
              </w:rPr>
            </w:pPr>
          </w:p>
        </w:tc>
        <w:tc>
          <w:tcPr>
            <w:tcW w:w="1099" w:type="dxa"/>
            <w:vAlign w:val="center"/>
          </w:tcPr>
          <w:p w14:paraId="4CA75DEB">
            <w:pPr>
              <w:spacing w:line="240" w:lineRule="auto"/>
              <w:jc w:val="center"/>
              <w:rPr>
                <w:rFonts w:ascii="仿宋_GB2312" w:hAnsi="宋体" w:eastAsia="仿宋_GB2312" w:cs="宋体"/>
                <w:kern w:val="0"/>
              </w:rPr>
            </w:pPr>
          </w:p>
        </w:tc>
        <w:tc>
          <w:tcPr>
            <w:tcW w:w="809" w:type="dxa"/>
            <w:vAlign w:val="center"/>
          </w:tcPr>
          <w:p w14:paraId="491BA994">
            <w:pPr>
              <w:spacing w:line="240" w:lineRule="auto"/>
              <w:jc w:val="center"/>
              <w:rPr>
                <w:rFonts w:ascii="仿宋_GB2312" w:hAnsi="宋体" w:eastAsia="仿宋_GB2312" w:cs="宋体"/>
                <w:kern w:val="0"/>
              </w:rPr>
            </w:pPr>
          </w:p>
        </w:tc>
        <w:tc>
          <w:tcPr>
            <w:tcW w:w="849" w:type="dxa"/>
            <w:vAlign w:val="center"/>
          </w:tcPr>
          <w:p w14:paraId="1BF7EB9C">
            <w:pPr>
              <w:spacing w:line="240" w:lineRule="auto"/>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jc w:val="center"/>
              <w:rPr>
                <w:rFonts w:hint="eastAsia" w:ascii="仿宋_GB2312" w:hAnsi="宋体" w:eastAsia="仿宋_GB2312" w:cs="宋体"/>
                <w:kern w:val="0"/>
              </w:rPr>
            </w:pPr>
          </w:p>
        </w:tc>
        <w:tc>
          <w:tcPr>
            <w:tcW w:w="1099" w:type="dxa"/>
            <w:vAlign w:val="center"/>
          </w:tcPr>
          <w:p w14:paraId="284DAE29">
            <w:pPr>
              <w:spacing w:line="240" w:lineRule="auto"/>
              <w:jc w:val="center"/>
              <w:rPr>
                <w:rFonts w:ascii="仿宋_GB2312" w:hAnsi="宋体" w:eastAsia="仿宋_GB2312" w:cs="宋体"/>
                <w:kern w:val="0"/>
              </w:rPr>
            </w:pPr>
          </w:p>
        </w:tc>
        <w:tc>
          <w:tcPr>
            <w:tcW w:w="1099" w:type="dxa"/>
            <w:vAlign w:val="center"/>
          </w:tcPr>
          <w:p w14:paraId="3E80B33A">
            <w:pPr>
              <w:spacing w:line="240" w:lineRule="auto"/>
              <w:jc w:val="center"/>
              <w:rPr>
                <w:rFonts w:ascii="仿宋_GB2312" w:hAnsi="宋体" w:eastAsia="仿宋_GB2312" w:cs="宋体"/>
                <w:kern w:val="0"/>
              </w:rPr>
            </w:pPr>
          </w:p>
        </w:tc>
        <w:tc>
          <w:tcPr>
            <w:tcW w:w="809" w:type="dxa"/>
            <w:vAlign w:val="center"/>
          </w:tcPr>
          <w:p w14:paraId="5B45A609">
            <w:pPr>
              <w:spacing w:line="240" w:lineRule="auto"/>
              <w:jc w:val="center"/>
              <w:rPr>
                <w:rFonts w:ascii="仿宋_GB2312" w:hAnsi="宋体" w:eastAsia="仿宋_GB2312" w:cs="宋体"/>
                <w:kern w:val="0"/>
              </w:rPr>
            </w:pPr>
          </w:p>
        </w:tc>
        <w:tc>
          <w:tcPr>
            <w:tcW w:w="849" w:type="dxa"/>
            <w:vAlign w:val="center"/>
          </w:tcPr>
          <w:p w14:paraId="5506B9DE">
            <w:pPr>
              <w:spacing w:line="240" w:lineRule="auto"/>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center"/>
              <w:rPr>
                <w:rFonts w:hint="eastAsia" w:ascii="仿宋_GB2312" w:hAnsi="宋体" w:eastAsia="仿宋_GB2312" w:cs="宋体"/>
                <w:kern w:val="0"/>
              </w:rPr>
            </w:pPr>
          </w:p>
        </w:tc>
        <w:tc>
          <w:tcPr>
            <w:tcW w:w="1099" w:type="dxa"/>
            <w:vAlign w:val="center"/>
          </w:tcPr>
          <w:p w14:paraId="48F3A1C5">
            <w:pPr>
              <w:spacing w:line="240" w:lineRule="auto"/>
              <w:jc w:val="center"/>
              <w:rPr>
                <w:rFonts w:ascii="仿宋_GB2312" w:hAnsi="宋体" w:eastAsia="仿宋_GB2312" w:cs="宋体"/>
                <w:kern w:val="0"/>
              </w:rPr>
            </w:pPr>
          </w:p>
        </w:tc>
        <w:tc>
          <w:tcPr>
            <w:tcW w:w="1099" w:type="dxa"/>
            <w:vAlign w:val="center"/>
          </w:tcPr>
          <w:p w14:paraId="596F13DA">
            <w:pPr>
              <w:spacing w:line="240" w:lineRule="auto"/>
              <w:jc w:val="center"/>
              <w:rPr>
                <w:rFonts w:ascii="仿宋_GB2312" w:hAnsi="宋体" w:eastAsia="仿宋_GB2312" w:cs="宋体"/>
                <w:kern w:val="0"/>
              </w:rPr>
            </w:pPr>
          </w:p>
        </w:tc>
        <w:tc>
          <w:tcPr>
            <w:tcW w:w="809" w:type="dxa"/>
            <w:vAlign w:val="center"/>
          </w:tcPr>
          <w:p w14:paraId="49A57C7B">
            <w:pPr>
              <w:spacing w:line="240" w:lineRule="auto"/>
              <w:jc w:val="center"/>
              <w:rPr>
                <w:rFonts w:ascii="仿宋_GB2312" w:hAnsi="宋体" w:eastAsia="仿宋_GB2312" w:cs="宋体"/>
                <w:kern w:val="0"/>
              </w:rPr>
            </w:pPr>
          </w:p>
        </w:tc>
        <w:tc>
          <w:tcPr>
            <w:tcW w:w="849" w:type="dxa"/>
            <w:vAlign w:val="center"/>
          </w:tcPr>
          <w:p w14:paraId="044D5C88">
            <w:pPr>
              <w:spacing w:line="240" w:lineRule="auto"/>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jc w:val="center"/>
              <w:rPr>
                <w:rFonts w:hint="eastAsia" w:ascii="仿宋_GB2312" w:hAnsi="宋体" w:eastAsia="仿宋_GB2312" w:cs="宋体"/>
                <w:kern w:val="0"/>
              </w:rPr>
            </w:pPr>
          </w:p>
        </w:tc>
        <w:tc>
          <w:tcPr>
            <w:tcW w:w="1099" w:type="dxa"/>
            <w:vAlign w:val="center"/>
          </w:tcPr>
          <w:p w14:paraId="6FDEFD75">
            <w:pPr>
              <w:spacing w:line="240" w:lineRule="auto"/>
              <w:jc w:val="center"/>
              <w:rPr>
                <w:rFonts w:ascii="仿宋_GB2312" w:hAnsi="宋体" w:eastAsia="仿宋_GB2312" w:cs="宋体"/>
                <w:kern w:val="0"/>
              </w:rPr>
            </w:pPr>
          </w:p>
        </w:tc>
        <w:tc>
          <w:tcPr>
            <w:tcW w:w="1099" w:type="dxa"/>
            <w:vAlign w:val="center"/>
          </w:tcPr>
          <w:p w14:paraId="080101B6">
            <w:pPr>
              <w:spacing w:line="240" w:lineRule="auto"/>
              <w:jc w:val="center"/>
              <w:rPr>
                <w:rFonts w:ascii="仿宋_GB2312" w:hAnsi="宋体" w:eastAsia="仿宋_GB2312" w:cs="宋体"/>
                <w:kern w:val="0"/>
              </w:rPr>
            </w:pPr>
          </w:p>
        </w:tc>
        <w:tc>
          <w:tcPr>
            <w:tcW w:w="809" w:type="dxa"/>
            <w:vAlign w:val="center"/>
          </w:tcPr>
          <w:p w14:paraId="08424C68">
            <w:pPr>
              <w:spacing w:line="240" w:lineRule="auto"/>
              <w:jc w:val="center"/>
              <w:rPr>
                <w:rFonts w:ascii="仿宋_GB2312" w:hAnsi="宋体" w:eastAsia="仿宋_GB2312" w:cs="宋体"/>
                <w:kern w:val="0"/>
              </w:rPr>
            </w:pPr>
          </w:p>
        </w:tc>
        <w:tc>
          <w:tcPr>
            <w:tcW w:w="849" w:type="dxa"/>
            <w:vAlign w:val="center"/>
          </w:tcPr>
          <w:p w14:paraId="20F78EF3">
            <w:pPr>
              <w:spacing w:line="240" w:lineRule="auto"/>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shd w:val="clear"/>
            <w:vAlign w:val="center"/>
          </w:tcPr>
          <w:p w14:paraId="4471F21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群众满意率</w:t>
            </w:r>
          </w:p>
        </w:tc>
        <w:tc>
          <w:tcPr>
            <w:tcW w:w="1099" w:type="dxa"/>
            <w:vAlign w:val="center"/>
          </w:tcPr>
          <w:p w14:paraId="10DB725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5FCC670">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9FD5B5F">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2CA4B898">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汨罗市统计局</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5"/>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汨罗市统计局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6381594">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（一）部门职责</w:t>
      </w:r>
    </w:p>
    <w:p w14:paraId="63E12157">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1、制定全市性的统计工作规定；制定统计改革和统计现代化建设规划和统计调查计划；组织领导和协调全市各乡镇、各行政、事业单位的统计和国民经济核算工作；组织宣传、贯彻统计法律法规，查处重大的统计违法案件，监督检查统计法律法规的实施。</w:t>
      </w:r>
    </w:p>
    <w:p w14:paraId="0F74E140">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2、建立健全全市国民经济核算体系、统计指数体系、统计调查体系和基本统计报表制度；贯彻执行国家统计标准和地方统计标准；组织实施国家、省、地统计局统计体制改革方案。</w:t>
      </w:r>
    </w:p>
    <w:p w14:paraId="547422DF">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3、组织指导全市统计工作；负责管理全市性的统计调查项目，审查各乡镇和全市行政、企事业单位统计调查计划、调查方案；组织指导全市各部门的社会经济调查；负责全市统计报表管理工作。</w:t>
      </w:r>
    </w:p>
    <w:p w14:paraId="717E3C0D">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4、在市政府的领导下，组织完成国务院统一布置的农业、人口、经济普查和基本单位普查、投入产出、1‰人口及劳动资源调查等二十多项专项调查。</w:t>
      </w:r>
    </w:p>
    <w:p w14:paraId="488C5A0B">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5、收集、汇总、整理、提供全市性基本统计资料；对国民经济、社会发展和科技进步情况进行统计分析、统计预测和统计监督，向市委、市政府及有关部门提供咨询建议。</w:t>
      </w:r>
    </w:p>
    <w:p w14:paraId="561D4A8D">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6、统一核定、管理、公布、出版全市性统计资料，定期发布全市国民经济和社会发展情况的统计公报，指导、协调全市社会经济统计信息咨询工作。</w:t>
      </w:r>
    </w:p>
    <w:p w14:paraId="74AB6878">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7、建立健全和管理全市统计信息自动化系统和统计数据库体系的建设。</w:t>
      </w:r>
    </w:p>
    <w:p w14:paraId="182FA969">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8、组织管理全市统计干部业务培训和统计人员持证上岗和有关部门组织管理全市统计专业技术资格考试和职务评聘、继续教育工作；组织管理全市统计科学研究工作。</w:t>
      </w:r>
    </w:p>
    <w:p w14:paraId="4A6C7C01">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9、承办市委、市政府布置的各项工作及省、市统计局交办的其它事项。</w:t>
      </w:r>
    </w:p>
    <w:p w14:paraId="78B003BB">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10、及时、准确、客观、公正的反映各类社情民意调查。</w:t>
      </w:r>
    </w:p>
    <w:p w14:paraId="526A1EAB">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（二）机构设置情况</w:t>
      </w:r>
    </w:p>
    <w:p w14:paraId="1D503E11">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汨罗市统计局单位内设机构包括：办公室、法规股、业务股。一个二级机构，统计事务中心，该中心无财政预算，不实行单独财务核算。</w:t>
      </w:r>
    </w:p>
    <w:p w14:paraId="60DDE707">
      <w:pPr>
        <w:numPr>
          <w:numId w:val="0"/>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2"/>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AE74AD6">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1、2023年度财政拨款基本支出413.07万元，占财政拨款支出总额的61.56%，其中：</w:t>
      </w:r>
    </w:p>
    <w:p w14:paraId="6DAD85CA">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（1）工资福利支出317.7万元，占基本支出的76.91%，包括基本工资、津贴补贴、伙食补助费、绩效工资、机关事业单位基本养老保险缴费、职工基本医疗保险缴费、其他社会保障缴费、住房公积金、医疗费；</w:t>
      </w:r>
    </w:p>
    <w:p w14:paraId="6446B8E0">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（2）商品和服务支出87.07万元，占基本支出21.08%，包括办公费、印刷费、咨询费、水费、电费、差旅费、维修（护）费、会议费、公务接待费、劳务费、福利费、工会经费、其他交通费、其他商品和服务支出；</w:t>
      </w:r>
    </w:p>
    <w:p w14:paraId="540DBF41">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（3）对个人和家庭补助支出5.33万元，占基本支出的1.29%，包括退休费、生活补助、奖励金、其他对个人和家庭的补助等。</w:t>
      </w:r>
    </w:p>
    <w:p w14:paraId="1A4DD005">
      <w:pPr>
        <w:keepNext w:val="0"/>
        <w:keepLines w:val="0"/>
        <w:pageBreakBefore w:val="0"/>
        <w:widowControl w:val="0"/>
        <w:kinsoku/>
        <w:wordWrap/>
        <w:overflowPunct/>
        <w:topLinePunct w:val="0"/>
        <w:autoSpaceDE/>
        <w:autoSpaceDN/>
        <w:bidi w:val="0"/>
        <w:adjustRightInd/>
        <w:snapToGrid/>
        <w:spacing w:before="0" w:after="0"/>
        <w:ind w:left="0" w:right="0" w:firstLine="600" w:firstLineChars="200"/>
        <w:textAlignment w:val="auto"/>
        <w:rPr>
          <w:rFonts w:hint="eastAsia" w:ascii="仿宋" w:hAnsi="仿宋" w:eastAsia="仿宋" w:cs="宋体"/>
          <w:snapToGrid/>
          <w:kern w:val="0"/>
          <w:sz w:val="30"/>
          <w:szCs w:val="30"/>
          <w:lang w:val="en-US" w:eastAsia="zh-CN" w:bidi="ar-SA"/>
        </w:rPr>
      </w:pPr>
      <w:r>
        <w:rPr>
          <w:rFonts w:hint="eastAsia" w:ascii="仿宋" w:hAnsi="仿宋" w:eastAsia="仿宋" w:cs="宋体"/>
          <w:snapToGrid/>
          <w:kern w:val="0"/>
          <w:sz w:val="30"/>
          <w:szCs w:val="30"/>
          <w:lang w:val="en-US" w:eastAsia="zh-CN" w:bidi="ar-SA"/>
        </w:rPr>
        <w:t>（4）资本性资产2.96万元，占基本支出的0.72%,主要是办公设备购置费。</w:t>
      </w:r>
    </w:p>
    <w:p w14:paraId="00657FCB">
      <w:pPr>
        <w:pStyle w:val="12"/>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7E4D2E8C">
      <w:pPr>
        <w:pStyle w:val="7"/>
        <w:spacing w:before="0" w:beforeAutospacing="0" w:after="0" w:afterAutospacing="0" w:line="600" w:lineRule="exact"/>
        <w:ind w:firstLine="600" w:firstLineChars="200"/>
        <w:rPr>
          <w:rFonts w:hint="eastAsia" w:ascii="Times New Roman" w:hAnsi="Times New Roman" w:eastAsia="仿宋_GB2312"/>
          <w:kern w:val="0"/>
          <w:sz w:val="32"/>
          <w:szCs w:val="32"/>
          <w:lang w:eastAsia="zh-CN"/>
        </w:rPr>
      </w:pPr>
      <w:r>
        <w:rPr>
          <w:rFonts w:hint="eastAsia" w:ascii="仿宋" w:hAnsi="仿宋" w:eastAsia="仿宋" w:cs="Times New Roman"/>
          <w:kern w:val="2"/>
          <w:sz w:val="30"/>
          <w:szCs w:val="30"/>
        </w:rPr>
        <w:t>2023年</w:t>
      </w:r>
      <w:r>
        <w:rPr>
          <w:rFonts w:ascii="仿宋" w:hAnsi="仿宋" w:eastAsia="仿宋" w:cs="Times New Roman"/>
          <w:kern w:val="2"/>
          <w:sz w:val="30"/>
          <w:szCs w:val="30"/>
        </w:rPr>
        <w:t>项目支出</w:t>
      </w:r>
      <w:r>
        <w:rPr>
          <w:rFonts w:hint="eastAsia" w:ascii="仿宋" w:hAnsi="仿宋" w:eastAsia="仿宋" w:cs="Times New Roman"/>
          <w:color w:val="333333"/>
          <w:sz w:val="30"/>
          <w:szCs w:val="30"/>
          <w:lang w:val="en-US" w:eastAsia="zh-CN"/>
        </w:rPr>
        <w:t>257.91</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lang w:val="en-US" w:eastAsia="zh-CN"/>
        </w:rPr>
        <w:t>38.44</w:t>
      </w:r>
      <w:r>
        <w:rPr>
          <w:rFonts w:ascii="仿宋" w:hAnsi="仿宋" w:eastAsia="仿宋" w:cs="Times New Roman"/>
          <w:color w:val="333333"/>
          <w:sz w:val="30"/>
          <w:szCs w:val="30"/>
        </w:rPr>
        <w:t>%</w:t>
      </w:r>
      <w:r>
        <w:rPr>
          <w:rFonts w:ascii="仿宋" w:hAnsi="仿宋" w:eastAsia="仿宋" w:cs="Times New Roman"/>
          <w:kern w:val="2"/>
          <w:sz w:val="30"/>
          <w:szCs w:val="30"/>
        </w:rPr>
        <w:t>。</w:t>
      </w:r>
      <w:r>
        <w:rPr>
          <w:rFonts w:hint="eastAsia" w:ascii="仿宋" w:hAnsi="仿宋" w:eastAsia="仿宋" w:cs="Times New Roman"/>
          <w:kern w:val="2"/>
          <w:sz w:val="30"/>
          <w:szCs w:val="30"/>
        </w:rPr>
        <w:t>分别是：专项统计业务43.91</w:t>
      </w:r>
      <w:r>
        <w:rPr>
          <w:rFonts w:ascii="仿宋" w:hAnsi="仿宋" w:eastAsia="仿宋" w:cs="Times New Roman"/>
          <w:kern w:val="2"/>
          <w:sz w:val="30"/>
          <w:szCs w:val="30"/>
        </w:rPr>
        <w:t>万元</w:t>
      </w:r>
      <w:r>
        <w:rPr>
          <w:rFonts w:hint="eastAsia" w:ascii="仿宋" w:hAnsi="仿宋" w:eastAsia="仿宋" w:cs="Times New Roman"/>
          <w:kern w:val="2"/>
          <w:sz w:val="30"/>
          <w:szCs w:val="30"/>
          <w:lang w:eastAsia="zh-CN"/>
        </w:rPr>
        <w:t>，专项普查活动200</w:t>
      </w:r>
      <w:r>
        <w:rPr>
          <w:rFonts w:ascii="仿宋" w:hAnsi="仿宋" w:eastAsia="仿宋" w:cs="Times New Roman"/>
          <w:kern w:val="2"/>
          <w:sz w:val="30"/>
          <w:szCs w:val="30"/>
        </w:rPr>
        <w:t>万元</w:t>
      </w:r>
      <w:r>
        <w:rPr>
          <w:rFonts w:hint="eastAsia" w:ascii="仿宋" w:hAnsi="仿宋" w:eastAsia="仿宋" w:cs="Times New Roman"/>
          <w:kern w:val="2"/>
          <w:sz w:val="30"/>
          <w:szCs w:val="30"/>
          <w:lang w:eastAsia="zh-CN"/>
        </w:rPr>
        <w:t>。</w:t>
      </w:r>
    </w:p>
    <w:p w14:paraId="516D3C52">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541E66D0">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0" w:firstLineChars="200"/>
        <w:jc w:val="both"/>
        <w:textAlignment w:val="auto"/>
        <w:rPr>
          <w:lang w:eastAsia="zh-CN"/>
        </w:rPr>
      </w:pPr>
      <w:r>
        <w:rPr>
          <w:rFonts w:hint="eastAsia" w:ascii="仿宋" w:hAnsi="仿宋" w:eastAsia="仿宋" w:cs="Times New Roman"/>
          <w:kern w:val="2"/>
          <w:sz w:val="30"/>
          <w:szCs w:val="30"/>
          <w:lang w:val="en-US" w:eastAsia="zh-CN" w:bidi="ar-SA"/>
        </w:rPr>
        <w:t>本单位无政府性基金预算支出。</w:t>
      </w:r>
    </w:p>
    <w:p w14:paraId="2A755169">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5AE417C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0" w:firstLineChars="200"/>
        <w:jc w:val="both"/>
        <w:textAlignment w:val="auto"/>
        <w:rPr>
          <w:lang w:eastAsia="zh-CN"/>
        </w:rPr>
      </w:pPr>
      <w:r>
        <w:rPr>
          <w:rFonts w:hint="eastAsia" w:ascii="仿宋" w:hAnsi="仿宋" w:eastAsia="仿宋" w:cs="Times New Roman"/>
          <w:kern w:val="2"/>
          <w:sz w:val="30"/>
          <w:szCs w:val="30"/>
          <w:lang w:val="en-US" w:eastAsia="zh-CN" w:bidi="ar-SA"/>
        </w:rPr>
        <w:t>本单位无国有资本经营预算支出。</w:t>
      </w:r>
    </w:p>
    <w:p w14:paraId="07F1EBC0">
      <w:pPr>
        <w:numPr>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546B076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黑体" w:hAnsi="黑体" w:eastAsia="黑体" w:cs="黑体"/>
          <w:color w:val="auto"/>
        </w:rPr>
      </w:pPr>
      <w:r>
        <w:rPr>
          <w:rFonts w:hint="eastAsia" w:ascii="仿宋" w:hAnsi="仿宋" w:eastAsia="仿宋" w:cs="Times New Roman"/>
          <w:kern w:val="2"/>
          <w:sz w:val="30"/>
          <w:szCs w:val="30"/>
          <w:lang w:val="en-US" w:eastAsia="zh-CN" w:bidi="ar-SA"/>
        </w:rPr>
        <w:t>本单位无社会保险基金预算支出。</w:t>
      </w:r>
    </w:p>
    <w:p w14:paraId="366119F2">
      <w:pPr>
        <w:pStyle w:val="2"/>
        <w:numPr>
          <w:numId w:val="0"/>
        </w:numPr>
        <w:ind w:left="640" w:leftChars="0"/>
        <w:rPr>
          <w:lang w:eastAsia="zh-CN"/>
        </w:rPr>
      </w:pP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E7845F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汨罗市统计局2023年度部门整体支出670.98万元，其中单位基本支出413.07</w:t>
      </w:r>
      <w:r>
        <w:rPr>
          <w:rFonts w:hint="eastAsia" w:ascii="仿宋" w:hAnsi="仿宋" w:eastAsia="仿宋" w:cs="Times New Roman"/>
          <w:kern w:val="2"/>
          <w:sz w:val="30"/>
          <w:szCs w:val="30"/>
          <w:lang w:val="en-US" w:eastAsia="zh-CN" w:bidi="ar-SA"/>
        </w:rPr>
        <w:t>万元、项目支出257.91</w:t>
      </w:r>
      <w:r>
        <w:rPr>
          <w:rFonts w:hint="eastAsia" w:ascii="仿宋" w:hAnsi="仿宋" w:eastAsia="仿宋" w:cs="Times New Roman"/>
          <w:kern w:val="2"/>
          <w:sz w:val="30"/>
          <w:szCs w:val="30"/>
          <w:lang w:val="en-US" w:eastAsia="zh-CN" w:bidi="ar-SA"/>
        </w:rPr>
        <w:t>万元；整体支出绩效目标完成率100%，其中单位基本支出完成率100%，项目支出完成率100%。</w:t>
      </w:r>
    </w:p>
    <w:p w14:paraId="5A8F75F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其产出和效益情况概述如下：</w:t>
      </w:r>
    </w:p>
    <w:p w14:paraId="277DE73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1.基本保证了工资及津补贴的正常发放。</w:t>
      </w:r>
    </w:p>
    <w:p w14:paraId="6230A86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2.基本保证了单位公用经费的正常支出，机构各项职能运转正常。</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640" w:firstLineChars="200"/>
        <w:jc w:val="both"/>
        <w:rPr>
          <w:rFonts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经过自评，我单位财政预算方面还存在着相关流程需要进一步规范、预算执行率有待进一步提高等问题。</w:t>
      </w:r>
    </w:p>
    <w:p w14:paraId="21E6073D">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13E85465">
      <w:pPr>
        <w:spacing w:line="600" w:lineRule="exact"/>
        <w:ind w:firstLine="56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28"/>
          <w:szCs w:val="28"/>
          <w:lang w:val="en-US" w:eastAsia="zh-CN" w:bidi="ar-SA"/>
        </w:rPr>
        <w:t>1</w:t>
      </w:r>
      <w:r>
        <w:rPr>
          <w:rFonts w:hint="eastAsia" w:ascii="Arial" w:hAnsi="Arial" w:eastAsia="仿宋_GB2312" w:cs="Arial"/>
          <w:snapToGrid w:val="0"/>
          <w:color w:val="000000"/>
          <w:kern w:val="0"/>
          <w:sz w:val="32"/>
          <w:szCs w:val="32"/>
          <w:lang w:val="en-US" w:eastAsia="zh-CN" w:bidi="ar-SA"/>
        </w:rPr>
        <w:t>、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操作性。</w:t>
      </w:r>
    </w:p>
    <w:p w14:paraId="047EF09A">
      <w:pPr>
        <w:spacing w:line="600" w:lineRule="exact"/>
        <w:ind w:firstLine="560" w:firstLineChars="200"/>
        <w:jc w:val="both"/>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28"/>
          <w:szCs w:val="28"/>
          <w:lang w:val="en-US" w:eastAsia="zh-CN" w:bidi="ar-SA"/>
        </w:rPr>
        <w:t>2</w:t>
      </w:r>
      <w:r>
        <w:rPr>
          <w:rFonts w:hint="eastAsia" w:ascii="Arial" w:hAnsi="Arial" w:eastAsia="仿宋_GB2312" w:cs="Arial"/>
          <w:snapToGrid w:val="0"/>
          <w:color w:val="000000"/>
          <w:kern w:val="0"/>
          <w:sz w:val="32"/>
          <w:szCs w:val="32"/>
          <w:lang w:val="en-US" w:eastAsia="zh-CN" w:bidi="ar-SA"/>
        </w:rPr>
        <w:t>、在日常预算管理过程中，进一步加强预算支出的审核、跟踪及预算执行情况分析。</w:t>
      </w:r>
    </w:p>
    <w:p w14:paraId="37ACA1CA">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446467ED">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28"/>
          <w:szCs w:val="28"/>
          <w:lang w:val="en-US" w:eastAsia="zh-CN" w:bidi="ar-SA"/>
        </w:rPr>
        <w:t>2023</w:t>
      </w:r>
      <w:r>
        <w:rPr>
          <w:rFonts w:hint="eastAsia" w:ascii="Arial" w:hAnsi="Arial" w:eastAsia="仿宋_GB2312" w:cs="Arial"/>
          <w:snapToGrid w:val="0"/>
          <w:color w:val="000000"/>
          <w:kern w:val="0"/>
          <w:sz w:val="32"/>
          <w:szCs w:val="32"/>
          <w:lang w:val="en-US" w:eastAsia="zh-CN" w:bidi="ar-SA"/>
        </w:rPr>
        <w:t>年自评结果拟用于</w:t>
      </w:r>
      <w:r>
        <w:rPr>
          <w:rFonts w:hint="eastAsia" w:ascii="Arial" w:hAnsi="Arial" w:eastAsia="仿宋_GB2312" w:cs="Arial"/>
          <w:snapToGrid w:val="0"/>
          <w:color w:val="000000"/>
          <w:kern w:val="0"/>
          <w:sz w:val="28"/>
          <w:szCs w:val="28"/>
          <w:lang w:val="en-US" w:eastAsia="zh-CN" w:bidi="ar-SA"/>
        </w:rPr>
        <w:t>2024</w:t>
      </w:r>
      <w:r>
        <w:rPr>
          <w:rFonts w:hint="eastAsia" w:ascii="Arial" w:hAnsi="Arial" w:eastAsia="仿宋_GB2312" w:cs="Arial"/>
          <w:snapToGrid w:val="0"/>
          <w:color w:val="000000"/>
          <w:kern w:val="0"/>
          <w:sz w:val="32"/>
          <w:szCs w:val="32"/>
          <w:lang w:val="en-US" w:eastAsia="zh-CN" w:bidi="ar-SA"/>
        </w:rPr>
        <w:t>年财政预算和工作任务中，并在门户网上进行公开。</w:t>
      </w:r>
    </w:p>
    <w:p w14:paraId="082A9BF7">
      <w:pPr>
        <w:pStyle w:val="2"/>
        <w:numPr>
          <w:numId w:val="0"/>
        </w:numPr>
        <w:ind w:leftChars="200"/>
        <w:rPr>
          <w:lang w:eastAsia="zh-CN"/>
        </w:rPr>
      </w:pP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6BBCD639">
      <w:pPr>
        <w:spacing w:line="600" w:lineRule="exact"/>
        <w:ind w:firstLine="640" w:firstLineChars="200"/>
        <w:jc w:val="both"/>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无</w:t>
      </w:r>
      <w:bookmarkStart w:id="0" w:name="_GoBack"/>
      <w:bookmarkEnd w:id="0"/>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5"/>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5"/>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CD513"/>
    <w:multiLevelType w:val="singleLevel"/>
    <w:tmpl w:val="AF6CD513"/>
    <w:lvl w:ilvl="0" w:tentative="0">
      <w:start w:val="8"/>
      <w:numFmt w:val="chineseCounting"/>
      <w:suff w:val="nothing"/>
      <w:lvlText w:val="%1、"/>
      <w:lvlJc w:val="left"/>
      <w:rPr>
        <w:rFonts w:hint="eastAsia"/>
      </w:rPr>
    </w:lvl>
  </w:abstractNum>
  <w:abstractNum w:abstractNumId="1">
    <w:nsid w:val="38243172"/>
    <w:multiLevelType w:val="singleLevel"/>
    <w:tmpl w:val="3824317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RiN2M3YzEzYzc0MWQyMWUxNDllYmZlMjJjNzlhNGMifQ=="/>
  </w:docVars>
  <w:rsids>
    <w:rsidRoot w:val="00000000"/>
    <w:rsid w:val="01AF3811"/>
    <w:rsid w:val="03795BF7"/>
    <w:rsid w:val="07122A8A"/>
    <w:rsid w:val="086E756B"/>
    <w:rsid w:val="0ACF37E5"/>
    <w:rsid w:val="0AE75B3C"/>
    <w:rsid w:val="0B400BC6"/>
    <w:rsid w:val="0BB93035"/>
    <w:rsid w:val="0E564460"/>
    <w:rsid w:val="0E68228D"/>
    <w:rsid w:val="0EA6787F"/>
    <w:rsid w:val="10593038"/>
    <w:rsid w:val="15276E52"/>
    <w:rsid w:val="16AF53BE"/>
    <w:rsid w:val="1995735D"/>
    <w:rsid w:val="19D32FBC"/>
    <w:rsid w:val="1B726CF2"/>
    <w:rsid w:val="1BCE5D79"/>
    <w:rsid w:val="1C66655B"/>
    <w:rsid w:val="1E6A4395"/>
    <w:rsid w:val="205904EB"/>
    <w:rsid w:val="20781741"/>
    <w:rsid w:val="21EA1D42"/>
    <w:rsid w:val="22AF0573"/>
    <w:rsid w:val="23EF10D6"/>
    <w:rsid w:val="25557A3D"/>
    <w:rsid w:val="26EA5ED7"/>
    <w:rsid w:val="26FC5C34"/>
    <w:rsid w:val="27A93B82"/>
    <w:rsid w:val="28A8200F"/>
    <w:rsid w:val="2AE00186"/>
    <w:rsid w:val="308216BE"/>
    <w:rsid w:val="32031B53"/>
    <w:rsid w:val="34FE1149"/>
    <w:rsid w:val="36203B2D"/>
    <w:rsid w:val="36D93CDC"/>
    <w:rsid w:val="397B72CC"/>
    <w:rsid w:val="3A550786"/>
    <w:rsid w:val="3B7A130F"/>
    <w:rsid w:val="3C4B24C9"/>
    <w:rsid w:val="3C4B567C"/>
    <w:rsid w:val="3D9F527F"/>
    <w:rsid w:val="3FA52DF7"/>
    <w:rsid w:val="41652D3C"/>
    <w:rsid w:val="443D58AA"/>
    <w:rsid w:val="45ED2649"/>
    <w:rsid w:val="468841CA"/>
    <w:rsid w:val="480A0199"/>
    <w:rsid w:val="494A1329"/>
    <w:rsid w:val="4A6E17F6"/>
    <w:rsid w:val="4A8E3303"/>
    <w:rsid w:val="4F8B6063"/>
    <w:rsid w:val="52FA3F96"/>
    <w:rsid w:val="55850F17"/>
    <w:rsid w:val="57AE6D93"/>
    <w:rsid w:val="59D70C4B"/>
    <w:rsid w:val="59E7658C"/>
    <w:rsid w:val="5B065420"/>
    <w:rsid w:val="5D836FD8"/>
    <w:rsid w:val="5DC41C43"/>
    <w:rsid w:val="5FB623A7"/>
    <w:rsid w:val="66815672"/>
    <w:rsid w:val="6BD050D2"/>
    <w:rsid w:val="6E3851B0"/>
    <w:rsid w:val="6E6265D7"/>
    <w:rsid w:val="784167CA"/>
    <w:rsid w:val="79FD086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1893</Words>
  <Characters>1955</Characters>
  <TotalTime>0</TotalTime>
  <ScaleCrop>false</ScaleCrop>
  <LinksUpToDate>false</LinksUpToDate>
  <CharactersWithSpaces>2119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小胡</cp:lastModifiedBy>
  <cp:lastPrinted>2024-05-21T14:05:00Z</cp:lastPrinted>
  <dcterms:modified xsi:type="dcterms:W3CDTF">2024-10-10T01:50:34Z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2052-12.1.0.17827</vt:lpwstr>
  </property>
  <property fmtid="{D5CDD505-2E9C-101B-9397-08002B2CF9AE}" pid="6" name="ICV">
    <vt:lpwstr>A1E9AC54BF58440288AD196632C2A254_12</vt:lpwstr>
  </property>
</Properties>
</file>