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1"/>
        <w:gridCol w:w="96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46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192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Merge w:val="continue"/>
            <w:tcBorders>
              <w:top w:val="nil"/>
            </w:tcBorders>
            <w:vAlign w:val="center"/>
          </w:tcPr>
          <w:p>
            <w:pPr>
              <w:spacing w:line="240" w:lineRule="auto"/>
              <w:ind w:firstLine="420"/>
              <w:jc w:val="center"/>
              <w:rPr>
                <w:rFonts w:ascii="仿宋_GB2312" w:eastAsia="仿宋_GB2312"/>
                <w:kern w:val="0"/>
              </w:rPr>
            </w:pPr>
          </w:p>
        </w:tc>
        <w:tc>
          <w:tcPr>
            <w:tcW w:w="1926" w:type="dxa"/>
            <w:gridSpan w:val="2"/>
            <w:vAlign w:val="center"/>
          </w:tcPr>
          <w:p>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139</w:t>
            </w:r>
          </w:p>
        </w:tc>
        <w:tc>
          <w:tcPr>
            <w:tcW w:w="2039" w:type="dxa"/>
            <w:gridSpan w:val="2"/>
            <w:vAlign w:val="center"/>
          </w:tcPr>
          <w:p>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139</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2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46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192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6.66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192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46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46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6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192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192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1926"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275.4</w:t>
            </w:r>
          </w:p>
        </w:tc>
        <w:tc>
          <w:tcPr>
            <w:tcW w:w="2039"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154</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老干福利费</w:t>
            </w:r>
          </w:p>
        </w:tc>
        <w:tc>
          <w:tcPr>
            <w:tcW w:w="192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劳动维权办案专项</w:t>
            </w:r>
          </w:p>
        </w:tc>
        <w:tc>
          <w:tcPr>
            <w:tcW w:w="1926" w:type="dxa"/>
            <w:gridSpan w:val="2"/>
            <w:vAlign w:val="center"/>
          </w:tcPr>
          <w:p>
            <w:pPr>
              <w:spacing w:line="240" w:lineRule="auto"/>
              <w:ind w:firstLine="420"/>
              <w:jc w:val="center"/>
              <w:rPr>
                <w:rFonts w:hint="eastAsia" w:ascii="仿宋_GB2312" w:eastAsia="仿宋_GB2312"/>
                <w:b/>
                <w:bCs/>
                <w:kern w:val="0"/>
                <w:lang w:val="en-US" w:eastAsia="zh-CN"/>
              </w:rPr>
            </w:pPr>
            <w:r>
              <w:rPr>
                <w:rFonts w:hint="eastAsia" w:ascii="仿宋_GB2312" w:eastAsia="仿宋_GB2312"/>
                <w:b w:val="0"/>
                <w:bCs w:val="0"/>
                <w:kern w:val="0"/>
                <w:lang w:val="en-US" w:eastAsia="zh-CN"/>
              </w:rPr>
              <w:t>203.06</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事业单位人员招聘考试</w:t>
            </w:r>
          </w:p>
        </w:tc>
        <w:tc>
          <w:tcPr>
            <w:tcW w:w="192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劳动仲裁、工伤认定</w:t>
            </w:r>
          </w:p>
        </w:tc>
        <w:tc>
          <w:tcPr>
            <w:tcW w:w="192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网络安全测评及整改费用</w:t>
            </w:r>
          </w:p>
        </w:tc>
        <w:tc>
          <w:tcPr>
            <w:tcW w:w="192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23.34</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档案管理</w:t>
            </w:r>
          </w:p>
        </w:tc>
        <w:tc>
          <w:tcPr>
            <w:tcW w:w="192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年度考核年终评奖经费</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工伤保险监督认定</w:t>
            </w:r>
          </w:p>
        </w:tc>
        <w:tc>
          <w:tcPr>
            <w:tcW w:w="192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36.78</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12.00</w:t>
            </w:r>
          </w:p>
        </w:tc>
        <w:tc>
          <w:tcPr>
            <w:tcW w:w="1983"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26.02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死亡补助及抚恤金专项</w:t>
            </w:r>
          </w:p>
        </w:tc>
        <w:tc>
          <w:tcPr>
            <w:tcW w:w="192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787.26</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1032.21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 w:eastAsia="zh-CN"/>
              </w:rPr>
            </w:pPr>
            <w:r>
              <w:rPr>
                <w:rFonts w:hint="eastAsia" w:ascii="仿宋_GB2312" w:eastAsia="仿宋_GB2312"/>
                <w:kern w:val="0"/>
                <w:lang w:val="en" w:eastAsia="zh-CN"/>
              </w:rPr>
              <w:t>非财政专项资金</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工会事务等专项</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社保监督执法</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城乡居民养老保险征收及死亡认证奖励经费</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99</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社保监督执法专项</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144.33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机关事业单位退休人员职业年金补偿</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2385.66</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346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社保征收经费</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6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复退军人生活补助</w:t>
            </w:r>
          </w:p>
        </w:tc>
        <w:tc>
          <w:tcPr>
            <w:tcW w:w="192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34.59</w:t>
            </w:r>
          </w:p>
        </w:tc>
        <w:tc>
          <w:tcPr>
            <w:tcW w:w="2039" w:type="dxa"/>
            <w:gridSpan w:val="2"/>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34.59</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192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6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192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38.92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192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192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46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192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46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96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6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594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1947</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3897.95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3897.95</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其中：一般公共预算：3795.0</w:t>
            </w:r>
            <w:r>
              <w:rPr>
                <w:rFonts w:hint="eastAsia" w:ascii="仿宋_GB2312" w:hAnsi="宋体" w:eastAsia="仿宋_GB2312" w:cs="宋体"/>
                <w:kern w:val="0"/>
                <w:lang w:val="en-US" w:eastAsia="zh-CN"/>
              </w:rPr>
              <w:t>7</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其中：基本支出：1715.63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项目支出：2079.44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102.88</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1、夯实基础，在环境改善中优化服务，加快葱粉就业社区（村）的建设，加快人社信息化建设步伐；</w:t>
            </w:r>
          </w:p>
          <w:p>
            <w:pPr>
              <w:spacing w:line="240" w:lineRule="auto"/>
              <w:ind w:firstLine="420"/>
              <w:jc w:val="center"/>
              <w:rPr>
                <w:rFonts w:hint="eastAsia" w:ascii="仿宋_GB2312" w:eastAsia="仿宋_GB2312"/>
                <w:kern w:val="0"/>
              </w:rPr>
            </w:pPr>
            <w:r>
              <w:rPr>
                <w:rFonts w:hint="eastAsia" w:ascii="仿宋_GB2312" w:eastAsia="仿宋_GB2312"/>
                <w:kern w:val="0"/>
              </w:rPr>
              <w:t>2、突出亮点，在争先创优中突出成绩，大力实施技能培训，全力扶持创业带动就业；</w:t>
            </w:r>
          </w:p>
          <w:p>
            <w:pPr>
              <w:spacing w:line="240" w:lineRule="auto"/>
              <w:ind w:firstLine="420"/>
              <w:jc w:val="center"/>
              <w:rPr>
                <w:rFonts w:hint="eastAsia" w:ascii="仿宋_GB2312" w:eastAsia="仿宋_GB2312"/>
                <w:kern w:val="0"/>
              </w:rPr>
            </w:pPr>
            <w:r>
              <w:rPr>
                <w:rFonts w:hint="eastAsia" w:ascii="仿宋_GB2312" w:eastAsia="仿宋_GB2312"/>
                <w:kern w:val="0"/>
              </w:rPr>
              <w:t>3、兜住底线，在日常管理中促规范，健全更完善的社保体系，实施更有力的劳动维权；</w:t>
            </w:r>
          </w:p>
          <w:p>
            <w:pPr>
              <w:spacing w:line="240" w:lineRule="auto"/>
              <w:ind w:firstLine="420"/>
              <w:jc w:val="center"/>
              <w:rPr>
                <w:rFonts w:ascii="仿宋_GB2312" w:eastAsia="仿宋_GB2312"/>
                <w:kern w:val="0"/>
              </w:rPr>
            </w:pPr>
            <w:r>
              <w:rPr>
                <w:rFonts w:hint="eastAsia" w:ascii="仿宋_GB2312" w:eastAsia="仿宋_GB2312"/>
                <w:kern w:val="0"/>
              </w:rPr>
              <w:t>4、练好内功，在素质提升中树形象，加强党的建设，加强能力建设。</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圆满按时完成。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处理农民工工资拖欠问题此次数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≥1500次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1503次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事业单位公开招聘计划人数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≥178人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178人</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劳动人事争议仲裁结案率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完成时间</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促进经济发展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事业单位退休人员老有所养</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保障退休人员基本生活，促进基本养老保险制度可持续发展</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按时完成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生态环境改善状况</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对市民群众获得感和幸福感的影响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受益对象满意度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社会公众满意度</w:t>
            </w:r>
          </w:p>
        </w:tc>
        <w:tc>
          <w:tcPr>
            <w:tcW w:w="1298" w:type="dxa"/>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269" w:type="dxa"/>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vMerge w:val="restart"/>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年初预算项目经费总额（含年中调整）</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154万元</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625.05万元</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jc w:val="center"/>
              <w:rPr>
                <w:rFonts w:hint="eastAsia" w:ascii="仿宋_GB2312" w:eastAsia="仿宋_GB2312"/>
                <w:kern w:val="0"/>
                <w:lang w:val="en-US" w:eastAsia="zh-CN"/>
              </w:rPr>
            </w:pPr>
          </w:p>
        </w:tc>
        <w:tc>
          <w:tcPr>
            <w:tcW w:w="1029" w:type="dxa"/>
            <w:vMerge w:val="continue"/>
            <w:vAlign w:val="center"/>
          </w:tcPr>
          <w:p>
            <w:pPr>
              <w:spacing w:line="240" w:lineRule="auto"/>
              <w:jc w:val="center"/>
              <w:rPr>
                <w:rFonts w:hint="eastAsia" w:ascii="仿宋_GB2312" w:eastAsia="仿宋_GB2312"/>
                <w:kern w:val="0"/>
                <w:lang w:eastAsia="zh-CN"/>
              </w:rPr>
            </w:pPr>
          </w:p>
        </w:tc>
        <w:tc>
          <w:tcPr>
            <w:tcW w:w="1249"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年初预算人员经费总额（含年中调整）</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690.17</w:t>
            </w:r>
          </w:p>
        </w:tc>
        <w:tc>
          <w:tcPr>
            <w:tcW w:w="1269"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746.17</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对自然生态环境造成的负面影响</w:t>
            </w:r>
          </w:p>
        </w:tc>
        <w:tc>
          <w:tcPr>
            <w:tcW w:w="1298" w:type="dxa"/>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269" w:type="dxa"/>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99" w:type="dxa"/>
            <w:shd w:val="clear" w:color="auto" w:fill="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方正小标宋简体" w:hAnsi="宋体" w:eastAsia="方正小标宋简体" w:cs="宋体"/>
          <w:bCs/>
          <w:spacing w:val="8"/>
          <w:kern w:val="0"/>
          <w:sz w:val="44"/>
          <w:szCs w:val="44"/>
          <w:lang w:val="en-US" w:eastAsia="zh-CN"/>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劳动维权办案专项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保证劳动监察工作正常运行</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处理农民工工资拖欠问题</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≥1500次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1503次</w:t>
            </w:r>
          </w:p>
        </w:tc>
        <w:tc>
          <w:tcPr>
            <w:tcW w:w="80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年度执法案卷评查合格率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 ≥95%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全年查处各类案件法定结案率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80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84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2023年全年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维护劳动关系和谐稳定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shd w:val="clear" w:color="auto" w:fill="auto"/>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5</w:t>
            </w:r>
          </w:p>
        </w:tc>
        <w:tc>
          <w:tcPr>
            <w:tcW w:w="849" w:type="dxa"/>
            <w:shd w:val="clear" w:color="auto" w:fill="auto"/>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5</w:t>
            </w:r>
          </w:p>
        </w:tc>
        <w:tc>
          <w:tcPr>
            <w:tcW w:w="1383" w:type="dxa"/>
            <w:shd w:val="clear" w:color="auto" w:fill="auto"/>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促进我市构建和谐稳定的劳动关系，进一步保障本市经济发展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劳动关系双方当事人满意度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80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w:t>
            </w:r>
          </w:p>
        </w:tc>
        <w:tc>
          <w:tcPr>
            <w:tcW w:w="84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100万元        </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100万元        </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809" w:type="dxa"/>
            <w:shd w:val="clear" w:color="auto" w:fill="auto"/>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shd w:val="clear" w:color="auto" w:fill="auto"/>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hint="default" w:ascii="方正小标宋简体" w:hAnsi="宋体" w:eastAsia="方正小标宋简体" w:cs="宋体"/>
          <w:bCs/>
          <w:spacing w:val="8"/>
          <w:kern w:val="0"/>
          <w:sz w:val="44"/>
          <w:szCs w:val="44"/>
          <w:lang w:val="en-US" w:eastAsia="zh-CN"/>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事业单位人员招聘考试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保证人事考试安全工作各项经费及时到位，维护考试公平公正</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事业单位公开招聘计划人数</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≥178人</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178人</w:t>
            </w:r>
          </w:p>
        </w:tc>
        <w:tc>
          <w:tcPr>
            <w:tcW w:w="80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聘用人员年度考核合格率</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聘用人员聘用合格率</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提供就业岗位数</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≥178人</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178人</w:t>
            </w:r>
          </w:p>
        </w:tc>
        <w:tc>
          <w:tcPr>
            <w:tcW w:w="809" w:type="dxa"/>
            <w:shd w:val="clear" w:color="auto" w:fill="auto"/>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pPr>
              <w:spacing w:line="240" w:lineRule="auto"/>
              <w:ind w:firstLine="420"/>
              <w:jc w:val="center"/>
              <w:rPr>
                <w:rFonts w:hint="eastAsia" w:ascii="仿宋_GB2312" w:hAnsi="宋体" w:eastAsia="仿宋_GB2312" w:cs="宋体"/>
                <w:kern w:val="0"/>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生态环境改善状况</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809" w:type="dxa"/>
            <w:shd w:val="clear" w:color="auto" w:fill="auto"/>
            <w:vAlign w:val="center"/>
          </w:tcPr>
          <w:p>
            <w:pPr>
              <w:spacing w:line="240" w:lineRule="auto"/>
              <w:ind w:firstLine="420"/>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shd w:val="clear" w:color="auto" w:fill="auto"/>
            <w:vAlign w:val="center"/>
          </w:tcPr>
          <w:p>
            <w:pPr>
              <w:spacing w:line="240" w:lineRule="auto"/>
              <w:ind w:firstLine="420"/>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1383" w:type="dxa"/>
            <w:shd w:val="clear" w:color="auto" w:fill="auto"/>
            <w:vAlign w:val="center"/>
          </w:tcPr>
          <w:p>
            <w:pPr>
              <w:spacing w:line="240" w:lineRule="auto"/>
              <w:ind w:firstLine="420"/>
              <w:jc w:val="center"/>
              <w:rPr>
                <w:rFonts w:hint="eastAsia" w:ascii="仿宋_GB2312" w:hAnsi="宋体" w:eastAsia="仿宋_GB2312" w:cs="宋体"/>
                <w:kern w:val="0"/>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为基层输送高素质人才，对强化基层人才队伍建设、补充专业技术人才等方面起到积极的作用</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聘用人员满意度</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聘用人员满意度</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≥90%</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预算批复金额</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30万元</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对自然生态环境造成的负面影响</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shd w:val="clear" w:color="auto" w:fill="auto"/>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textAlignment w:val="baseline"/>
        <w:rPr>
          <w:rFonts w:hint="default" w:ascii="方正小标宋简体" w:hAnsi="宋体" w:eastAsia="方正小标宋简体" w:cs="宋体"/>
          <w:bCs/>
          <w:spacing w:val="8"/>
          <w:kern w:val="0"/>
          <w:sz w:val="44"/>
          <w:szCs w:val="44"/>
          <w:lang w:val="en-US" w:eastAsia="zh-CN"/>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城乡居民养老保险征收及死亡认证奖励经费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汨罗市社会保险服务中心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完成社保征缴目标，扩大社保征缴覆盖面</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本项目资金使用情况良好，分阶段分期使用完毕。做到了合理有效使用资金。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全市养老保险参保人员数量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36.17万</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社保征缴参保人员是否合规</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合规</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2023年12月31日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2023年12月31日前</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资金是否节约使用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良好</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群众参保意识</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生态环境改善情况</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促进我市构建和谐稳定的劳动关系</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群众是否满意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8" w:type="default"/>
          <w:pgSz w:w="11907" w:h="16839"/>
          <w:pgMar w:top="1531" w:right="1474" w:bottom="1531" w:left="1587" w:header="0" w:footer="1588" w:gutter="0"/>
          <w:pgNumType w:fmt="numberInDash"/>
          <w:cols w:space="720" w:num="1"/>
          <w:docGrid w:linePitch="286" w:charSpace="0"/>
        </w:sectPr>
      </w:pP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复退军人生活补助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汨罗市就业服务中心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按时发放生活补助比例</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指导各地进一步健全劳动体制机制</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2023年12月31日前</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2023年12月31日前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促进社会发展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有所改善</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促进生态可持续发展；促进经济可持续发展</w:t>
            </w:r>
          </w:p>
        </w:tc>
        <w:tc>
          <w:tcPr>
            <w:tcW w:w="1099" w:type="dxa"/>
            <w:vAlign w:val="center"/>
          </w:tcPr>
          <w:p>
            <w:pPr>
              <w:spacing w:line="240" w:lineRule="auto"/>
              <w:jc w:val="both"/>
              <w:rPr>
                <w:rFonts w:ascii="宋体" w:hAnsi="宋体" w:eastAsia="宋体" w:cs="宋体"/>
                <w:i w:val="0"/>
                <w:iCs w:val="0"/>
                <w:snapToGrid w:val="0"/>
                <w:color w:val="000000"/>
                <w:kern w:val="0"/>
                <w:sz w:val="14"/>
                <w:szCs w:val="14"/>
                <w:u w:val="none"/>
                <w:lang w:val="en-US" w:eastAsia="en-US" w:bidi="ar-SA"/>
              </w:rPr>
            </w:pPr>
            <w:r>
              <w:rPr>
                <w:rFonts w:hint="eastAsia" w:ascii="仿宋_GB2312" w:hAnsi="宋体" w:eastAsia="仿宋_GB2312" w:cs="宋体"/>
                <w:kern w:val="0"/>
                <w:lang w:eastAsia="zh-CN"/>
              </w:rPr>
              <w:t>发展可</w:t>
            </w:r>
            <w:r>
              <w:rPr>
                <w:rFonts w:hint="eastAsia" w:ascii="仿宋_GB2312" w:hAnsi="宋体" w:eastAsia="仿宋_GB2312" w:cs="宋体"/>
                <w:kern w:val="0"/>
                <w:lang w:val="en-US" w:eastAsia="zh-CN"/>
              </w:rPr>
              <w:t>持续</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发展可持续</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足额发放生活补助比例</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2023年度汨罗市人力资源和社会保障局部门整体支出</w:t>
      </w:r>
    </w:p>
    <w:p>
      <w:pPr>
        <w:spacing w:line="240" w:lineRule="auto"/>
        <w:ind w:firstLine="2723" w:firstLineChars="619"/>
        <w:jc w:val="both"/>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绩效自评报告</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方正小标宋_GBK"/>
          <w:b/>
          <w:color w:val="auto"/>
          <w:sz w:val="52"/>
          <w:szCs w:val="5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pStyle w:val="3"/>
        <w:rPr>
          <w:rFonts w:ascii="仿宋_GB2312" w:hAnsi="仿宋_GB2312" w:eastAsia="黑体"/>
          <w:color w:val="auto"/>
          <w:sz w:val="32"/>
          <w:szCs w:val="32"/>
          <w:highlight w:val="none"/>
        </w:rPr>
      </w:pPr>
    </w:p>
    <w:p>
      <w:pPr>
        <w:pStyle w:val="3"/>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olor w:val="auto"/>
          <w:sz w:val="32"/>
          <w:szCs w:val="32"/>
          <w:highlight w:val="none"/>
          <w:u w:val="single"/>
          <w:lang w:eastAsia="zh-CN"/>
        </w:rPr>
      </w:pPr>
      <w:r>
        <w:rPr>
          <w:rFonts w:hint="eastAsia" w:ascii="仿宋_GB2312" w:hAnsi="仿宋_GB2312" w:eastAsia="仿宋_GB2312"/>
          <w:color w:val="auto"/>
          <w:sz w:val="32"/>
          <w:szCs w:val="32"/>
          <w:highlight w:val="none"/>
          <w:lang w:val="en-US" w:eastAsia="zh-CN"/>
        </w:rPr>
        <w:t>部门（</w:t>
      </w:r>
      <w:r>
        <w:rPr>
          <w:rFonts w:ascii="仿宋_GB2312" w:hAnsi="仿宋_GB2312" w:eastAsia="仿宋_GB2312"/>
          <w:color w:val="auto"/>
          <w:sz w:val="32"/>
          <w:szCs w:val="32"/>
          <w:highlight w:val="none"/>
        </w:rPr>
        <w:t>单位</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名称：</w:t>
      </w:r>
      <w:r>
        <w:rPr>
          <w:rFonts w:hint="eastAsia" w:ascii="仿宋_GB2312" w:hAnsi="仿宋_GB2312" w:eastAsia="仿宋_GB2312"/>
          <w:color w:val="auto"/>
          <w:sz w:val="32"/>
          <w:szCs w:val="32"/>
          <w:highlight w:val="none"/>
          <w:u w:val="single"/>
          <w:lang w:eastAsia="zh-CN"/>
        </w:rPr>
        <w:t>汨罗市人力资源和社会保障局</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楷体_GB2312"/>
          <w:color w:val="auto"/>
          <w:sz w:val="32"/>
          <w:szCs w:val="32"/>
          <w:highlight w:val="none"/>
        </w:rPr>
      </w:pPr>
      <w:r>
        <w:rPr>
          <w:rFonts w:hint="eastAsia" w:ascii="仿宋_GB2312" w:hAnsi="仿宋_GB2312" w:eastAsia="仿宋_GB2312"/>
          <w:color w:val="auto"/>
          <w:sz w:val="32"/>
          <w:szCs w:val="32"/>
          <w:highlight w:val="none"/>
          <w:u w:val="none"/>
          <w:lang w:val="en-US" w:eastAsia="zh-CN"/>
        </w:rPr>
        <w:t>2024</w:t>
      </w:r>
      <w:r>
        <w:rPr>
          <w:rFonts w:ascii="仿宋_GB2312" w:hAnsi="仿宋_GB2312" w:eastAsia="楷体_GB2312"/>
          <w:color w:val="auto"/>
          <w:sz w:val="32"/>
          <w:szCs w:val="32"/>
          <w:highlight w:val="none"/>
        </w:rPr>
        <w:t>年</w:t>
      </w:r>
      <w:r>
        <w:rPr>
          <w:rFonts w:hint="eastAsia" w:ascii="仿宋_GB2312" w:hAnsi="仿宋_GB2312" w:eastAsia="楷体_GB2312"/>
          <w:color w:val="auto"/>
          <w:sz w:val="32"/>
          <w:szCs w:val="32"/>
          <w:highlight w:val="none"/>
          <w:lang w:val="en-US" w:eastAsia="zh-CN"/>
        </w:rPr>
        <w:t>10</w:t>
      </w:r>
      <w:r>
        <w:rPr>
          <w:rFonts w:ascii="仿宋_GB2312" w:hAnsi="仿宋_GB2312" w:eastAsia="楷体_GB2312"/>
          <w:color w:val="auto"/>
          <w:sz w:val="32"/>
          <w:szCs w:val="32"/>
          <w:highlight w:val="none"/>
        </w:rPr>
        <w:t>月</w:t>
      </w:r>
      <w:r>
        <w:rPr>
          <w:rFonts w:hint="eastAsia" w:ascii="仿宋_GB2312" w:hAnsi="仿宋_GB2312" w:eastAsia="楷体_GB2312"/>
          <w:color w:val="auto"/>
          <w:sz w:val="32"/>
          <w:szCs w:val="32"/>
          <w:highlight w:val="none"/>
          <w:lang w:val="en-US" w:eastAsia="zh-CN"/>
        </w:rPr>
        <w:t>17</w:t>
      </w:r>
      <w:r>
        <w:rPr>
          <w:rFonts w:ascii="仿宋_GB2312" w:hAnsi="仿宋_GB2312" w:eastAsia="楷体_GB2312"/>
          <w:color w:val="auto"/>
          <w:sz w:val="32"/>
          <w:szCs w:val="32"/>
          <w:highlight w:val="none"/>
        </w:rPr>
        <w:t>日</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楷体_GB2312"/>
          <w:color w:val="auto"/>
          <w:sz w:val="32"/>
          <w:szCs w:val="32"/>
          <w:highlight w:val="none"/>
          <w:lang w:eastAsia="zh-CN"/>
        </w:rPr>
      </w:pPr>
      <w:r>
        <w:rPr>
          <w:rFonts w:hint="eastAsia" w:ascii="仿宋_GB2312" w:hAnsi="仿宋_GB2312" w:eastAsia="楷体_GB2312"/>
          <w:color w:val="auto"/>
          <w:sz w:val="32"/>
          <w:szCs w:val="32"/>
          <w:highlight w:val="none"/>
          <w:lang w:eastAsia="zh-CN"/>
        </w:rPr>
        <w:t>（</w:t>
      </w:r>
      <w:r>
        <w:rPr>
          <w:rFonts w:hint="eastAsia" w:ascii="仿宋_GB2312" w:hAnsi="仿宋_GB2312" w:eastAsia="楷体_GB2312"/>
          <w:color w:val="auto"/>
          <w:sz w:val="32"/>
          <w:szCs w:val="32"/>
          <w:highlight w:val="none"/>
          <w:lang w:val="en-US" w:eastAsia="zh-CN"/>
        </w:rPr>
        <w:t>此页为封面</w:t>
      </w:r>
      <w:r>
        <w:rPr>
          <w:rFonts w:hint="eastAsia" w:ascii="仿宋_GB2312" w:hAnsi="仿宋_GB2312" w:eastAsia="楷体_GB2312"/>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textAlignment w:val="auto"/>
        <w:rPr>
          <w:rFonts w:ascii="仿宋_GB2312" w:hAnsi="仿宋_GB2312" w:eastAsia="仿宋_GB2312"/>
          <w:color w:val="auto"/>
          <w:sz w:val="32"/>
          <w:szCs w:val="32"/>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highlight w:val="none"/>
        </w:rPr>
        <w:sectPr>
          <w:pgSz w:w="11906" w:h="16838"/>
          <w:pgMar w:top="1440" w:right="1800" w:bottom="1440" w:left="1800" w:header="851" w:footer="992" w:gutter="0"/>
          <w:pgNumType w:fmt="decimal"/>
          <w:cols w:space="425" w:num="1"/>
          <w:docGrid w:type="lines" w:linePitch="312" w:charSpace="0"/>
        </w:sectPr>
      </w:pPr>
      <w:bookmarkStart w:id="0" w:name="_Hlk124528175"/>
    </w:p>
    <w:bookmarkEnd w:id="0"/>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rPr>
      </w:pPr>
      <w:r>
        <w:rPr>
          <w:rFonts w:hint="eastAsia" w:ascii="仿宋_GB2312" w:hAnsi="仿宋_GB2312" w:eastAsia="黑体" w:cs="Times New Roman"/>
          <w:color w:val="auto"/>
          <w:kern w:val="2"/>
          <w:sz w:val="32"/>
          <w:szCs w:val="32"/>
          <w:lang w:val="en-US" w:eastAsia="zh-CN" w:bidi="ar-SA"/>
        </w:rPr>
        <w:t>一、</w:t>
      </w:r>
      <w:r>
        <w:rPr>
          <w:rFonts w:ascii="仿宋_GB2312" w:hAnsi="仿宋_GB2312" w:eastAsia="黑体"/>
          <w:color w:val="auto"/>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0"/>
          <w:szCs w:val="30"/>
        </w:rPr>
      </w:pPr>
      <w:r>
        <w:rPr>
          <w:rFonts w:hint="eastAsia" w:ascii="仿宋_GB2312" w:hAnsi="仿宋_GB2312" w:eastAsia="仿宋_GB2312" w:cs="Times New Roman"/>
          <w:spacing w:val="0"/>
          <w:sz w:val="32"/>
          <w:szCs w:val="32"/>
        </w:rPr>
        <w:t>汨罗市</w:t>
      </w:r>
      <w:r>
        <w:rPr>
          <w:rFonts w:hint="eastAsia" w:ascii="仿宋_GB2312" w:hAnsi="仿宋_GB2312" w:eastAsia="仿宋_GB2312" w:cs="Times New Roman"/>
          <w:spacing w:val="0"/>
          <w:sz w:val="32"/>
          <w:szCs w:val="32"/>
          <w:lang w:eastAsia="zh-CN"/>
        </w:rPr>
        <w:t>人力资源和社会保障局</w:t>
      </w:r>
      <w:r>
        <w:rPr>
          <w:rFonts w:hint="eastAsia" w:ascii="仿宋_GB2312" w:hAnsi="仿宋_GB2312" w:eastAsia="仿宋_GB2312" w:cs="Times New Roman"/>
          <w:spacing w:val="0"/>
          <w:sz w:val="32"/>
          <w:szCs w:val="32"/>
        </w:rPr>
        <w:t>主要职能为</w:t>
      </w:r>
      <w:r>
        <w:rPr>
          <w:rFonts w:hint="eastAsia" w:ascii="宋体" w:hAnsi="宋体" w:eastAsia="宋体" w:cs="宋体"/>
          <w:color w:val="auto"/>
          <w:sz w:val="30"/>
          <w:szCs w:val="30"/>
        </w:rPr>
        <w:t>贯彻执行国家人力资源和社会保障方针政策和法律法规和省人力资源和社会保障事业发展规划、政策，起草市人力资源和社会保障地方性法规规章草案，并组织实施和监督检查。对全市人力资源和社会保障工作进行综合管理、监督指导、协调服务。拟定并组织实施全市人力资源市场发展规划和人力资源流动政策，指导全市建立统一规范的人力资源市场，促进人力资源合理流动、有效配置</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会同有关部门拟定机关、事业单位人员工资收入分配政策并组织实施，建立机关企事业单位人员工资正常增长和支付保障机制，拟定国有企业经营者收入分配政策，配合相关部门审核纳入市财政统一发放工资范围的同级党政机关、事业单位及人员的工资、奖金、津补贴标准和离退休费，拟定机关企事业单位人员福利和离退休政策并组织实施。会同有关部门指导事业单位人事制度改革，拟定事业单位人员和机关工勤人员管理政策，参与人才管理工作，综合管理全市专业技术人员和专业技术队伍建设工作，综合管理全市专业技术人员和机关事业单位工勤人员的培训和继续教育工作。会同有关部门拟定农民工工作综合性政策和规划，推动农民工相关政策的落实，协调解决重点难点问题，维护农民工合法权益。统筹实施劳动、人事争议调解仲裁制度，拟定劳动关系政策，完善劳动关系协调机制，监督落实消除非法使用童工政策和女工、未成年工的特殊劳动保护政策，组织实施劳动监察，协调劳动者维权工作，依法查处重大案件。承办市人民政府交办的其他事项。</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二、一般公共预算支出情况</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楷体_GB2312"/>
          <w:b/>
          <w:color w:val="auto"/>
          <w:sz w:val="32"/>
          <w:szCs w:val="32"/>
          <w:highlight w:val="none"/>
        </w:rPr>
      </w:pPr>
      <w:r>
        <w:rPr>
          <w:rFonts w:ascii="仿宋_GB2312" w:hAnsi="仿宋_GB2312" w:eastAsia="楷体_GB2312"/>
          <w:b/>
          <w:color w:val="auto"/>
          <w:sz w:val="32"/>
          <w:szCs w:val="32"/>
          <w:highlight w:val="none"/>
        </w:rPr>
        <w:t>（一）基本支出情况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汨罗市人力资源和社会保障局2023年一般公共预算财政拨款支出3795.07万元，其中：基本支出1715.63万元，其中人员经费1505.63万元、日常公用经费210万元，项目支出2079.44万元。</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楷体_GB2312"/>
          <w:b/>
          <w:color w:val="auto"/>
          <w:sz w:val="32"/>
          <w:szCs w:val="32"/>
          <w:highlight w:val="none"/>
        </w:rPr>
      </w:pPr>
      <w:r>
        <w:rPr>
          <w:rFonts w:ascii="仿宋_GB2312" w:hAnsi="仿宋_GB2312" w:eastAsia="楷体_GB2312"/>
          <w:b/>
          <w:color w:val="auto"/>
          <w:sz w:val="32"/>
          <w:szCs w:val="32"/>
          <w:highlight w:val="none"/>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我单位严格执行预算管理制度，依据“谁用钱，谁负责”的原则，专款专用，实时监控</w:t>
      </w:r>
      <w:r>
        <w:rPr>
          <w:rFonts w:hint="eastAsia" w:ascii="仿宋_GB2312" w:hAns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Times New Roman"/>
          <w:color w:val="auto"/>
          <w:sz w:val="32"/>
          <w:szCs w:val="32"/>
          <w:highlight w:val="none"/>
          <w:lang w:eastAsia="zh-CN"/>
        </w:rPr>
        <w:t>专项资金均已落实到位，按时按质合理使用完毕。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项目资金严格按指定用途专款专用，实行专项报告制度，并接受财政部门或上级部门的检查、验收。202</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年项目支出基本能够严格按照相关制度规定等进行。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我单位从专项资金设立、预算编制、分配方式、执行管理、监督评价等方面，对区级财政专项资金使用管理进行全面规范。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三、</w:t>
      </w:r>
      <w:r>
        <w:rPr>
          <w:rFonts w:ascii="仿宋_GB2312" w:hAnsi="仿宋_GB2312" w:eastAsia="黑体"/>
          <w:color w:val="auto"/>
          <w:sz w:val="32"/>
          <w:szCs w:val="32"/>
          <w:highlight w:val="none"/>
        </w:rPr>
        <w:t>政府性基金预算支出情况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四、</w:t>
      </w:r>
      <w:r>
        <w:rPr>
          <w:rFonts w:ascii="仿宋_GB2312" w:hAnsi="仿宋_GB2312" w:eastAsia="黑体"/>
          <w:color w:val="auto"/>
          <w:sz w:val="32"/>
          <w:szCs w:val="32"/>
          <w:highlight w:val="none"/>
        </w:rPr>
        <w:t>国有资本经营预算支出情况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ascii="仿宋_GB2312" w:hAnsi="仿宋_GB2312"/>
        </w:rPr>
      </w:pPr>
      <w:r>
        <w:rPr>
          <w:rFonts w:hint="eastAsia" w:ascii="仿宋_GB2312" w:hAnsi="仿宋_GB2312" w:eastAsia="仿宋_GB2312" w:cs="仿宋_GB2312"/>
          <w:color w:val="auto"/>
          <w:spacing w:val="7"/>
          <w:sz w:val="32"/>
          <w:szCs w:val="32"/>
          <w:lang w:eastAsia="zh-CN"/>
        </w:rPr>
        <w:t>无</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五、</w:t>
      </w:r>
      <w:r>
        <w:rPr>
          <w:rFonts w:ascii="仿宋_GB2312" w:hAnsi="仿宋_GB2312" w:eastAsia="黑体"/>
          <w:color w:val="auto"/>
          <w:sz w:val="32"/>
          <w:szCs w:val="32"/>
          <w:highlight w:val="none"/>
        </w:rPr>
        <w:t>社会保险基金预算支出情况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ascii="仿宋_GB2312" w:hAnsi="仿宋_GB2312"/>
        </w:rPr>
      </w:pPr>
      <w:r>
        <w:rPr>
          <w:rFonts w:hint="eastAsia" w:ascii="仿宋_GB2312" w:hAnsi="仿宋_GB2312" w:eastAsia="仿宋_GB2312" w:cs="仿宋_GB2312"/>
          <w:color w:val="auto"/>
          <w:spacing w:val="7"/>
          <w:sz w:val="32"/>
          <w:szCs w:val="32"/>
          <w:lang w:eastAsia="zh-CN"/>
        </w:rPr>
        <w:t>无</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六、</w:t>
      </w:r>
      <w:r>
        <w:rPr>
          <w:rFonts w:ascii="仿宋_GB2312" w:hAnsi="仿宋_GB2312" w:eastAsia="黑体"/>
          <w:color w:val="auto"/>
          <w:sz w:val="32"/>
          <w:szCs w:val="32"/>
          <w:highlight w:val="none"/>
        </w:rPr>
        <w:t>部门整体支出绩效情况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项目支出基本能够严格按照相关制度规定等进行。</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七、存在的问题及原因分析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textAlignment w:val="auto"/>
        <w:rPr>
          <w:rFonts w:hint="default" w:ascii="仿宋_GB2312" w:hAnsi="仿宋_GB2312" w:eastAsia="楷体_GB2312" w:cs="Times New Roman"/>
          <w:b/>
          <w:color w:val="auto"/>
          <w:kern w:val="2"/>
          <w:sz w:val="32"/>
          <w:szCs w:val="32"/>
          <w:highlight w:val="none"/>
          <w:lang w:val="en-US" w:eastAsia="zh-CN" w:bidi="ar-SA"/>
        </w:rPr>
      </w:pPr>
      <w:r>
        <w:rPr>
          <w:rFonts w:hint="eastAsia" w:ascii="仿宋_GB2312" w:hAnsi="仿宋_GB2312" w:eastAsia="楷体_GB2312" w:cs="Times New Roman"/>
          <w:b/>
          <w:color w:val="auto"/>
          <w:kern w:val="2"/>
          <w:sz w:val="32"/>
          <w:szCs w:val="32"/>
          <w:highlight w:val="none"/>
          <w:lang w:val="en-US" w:eastAsia="zh-CN" w:bidi="ar-SA"/>
        </w:rPr>
        <w:t>（一）存在的问题</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（1）项目推进力度有待进一步加强。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八、下一步改进措施</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（3）根据年初的绩效考核指标及预算绩效目标，扎实推进相关工作，确保考核指标及预算绩效目标按时、优质完成。</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rPr>
      </w:pPr>
      <w:r>
        <w:rPr>
          <w:rFonts w:ascii="仿宋_GB2312" w:hAnsi="仿宋_GB2312" w:eastAsia="黑体"/>
          <w:color w:val="auto"/>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olor w:val="auto"/>
          <w:sz w:val="32"/>
          <w:szCs w:val="32"/>
          <w:highlight w:val="none"/>
        </w:rPr>
      </w:pPr>
      <w:r>
        <w:rPr>
          <w:rFonts w:ascii="仿宋_GB2312" w:hAnsi="仿宋_GB2312" w:eastAsia="黑体"/>
          <w:color w:val="auto"/>
          <w:sz w:val="32"/>
          <w:szCs w:val="32"/>
          <w:highlight w:val="none"/>
          <w:shd w:val="clear" w:color="auto" w:fill="auto"/>
        </w:rPr>
        <w:t>十、</w:t>
      </w:r>
      <w:r>
        <w:rPr>
          <w:rFonts w:ascii="仿宋_GB2312" w:hAnsi="仿宋_GB2312" w:eastAsia="黑体"/>
          <w:color w:val="auto"/>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附件：1</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Theme="minorEastAsia"/>
          <w:lang w:eastAsia="zh-CN"/>
        </w:rPr>
      </w:pPr>
      <w:r>
        <w:rPr>
          <w:rFonts w:ascii="仿宋_GB2312" w:hAnsi="仿宋_GB2312" w:eastAsia="仿宋_GB2312"/>
          <w:color w:val="auto"/>
          <w:sz w:val="32"/>
          <w:szCs w:val="32"/>
          <w:highlight w:val="none"/>
        </w:rPr>
        <w:t>6</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社会保险基金预算支出</w:t>
      </w:r>
    </w:p>
    <w:p>
      <w:pPr>
        <w:spacing w:line="240" w:lineRule="auto"/>
        <w:ind w:firstLine="880"/>
        <w:jc w:val="center"/>
        <w:rPr>
          <w:rFonts w:ascii="方正小标宋简体" w:eastAsia="方正小标宋简体"/>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劳动维权办案专项</w:t>
      </w:r>
      <w:r>
        <w:rPr>
          <w:rFonts w:ascii="黑体" w:hAnsi="黑体" w:eastAsia="黑体" w:cs="黑体"/>
          <w:spacing w:val="15"/>
          <w:position w:val="10"/>
          <w:sz w:val="42"/>
          <w:szCs w:val="42"/>
        </w:rPr>
        <w:t>项目支出</w:t>
      </w:r>
    </w:p>
    <w:p>
      <w:pPr>
        <w:spacing w:before="1" w:line="220" w:lineRule="auto"/>
        <w:ind w:left="3069" w:firstLine="440" w:firstLineChars="1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both"/>
        <w:rPr>
          <w:spacing w:val="-22"/>
          <w:sz w:val="27"/>
          <w:szCs w:val="27"/>
        </w:rPr>
      </w:pPr>
    </w:p>
    <w:p>
      <w:pPr>
        <w:pStyle w:val="2"/>
        <w:spacing w:before="89" w:line="221" w:lineRule="auto"/>
        <w:jc w:val="both"/>
        <w:rPr>
          <w:spacing w:val="-22"/>
          <w:sz w:val="27"/>
          <w:szCs w:val="27"/>
        </w:rPr>
      </w:pPr>
    </w:p>
    <w:p>
      <w:pPr>
        <w:pStyle w:val="2"/>
        <w:spacing w:before="89" w:line="221" w:lineRule="auto"/>
        <w:ind w:left="2270"/>
        <w:jc w:val="both"/>
        <w:rPr>
          <w:spacing w:val="-22"/>
          <w:sz w:val="27"/>
          <w:szCs w:val="27"/>
        </w:rPr>
      </w:pPr>
    </w:p>
    <w:p>
      <w:pPr>
        <w:pStyle w:val="2"/>
        <w:spacing w:before="89" w:line="221" w:lineRule="auto"/>
        <w:ind w:left="2270"/>
        <w:jc w:val="both"/>
        <w:rPr>
          <w:spacing w:val="-22"/>
          <w:sz w:val="27"/>
          <w:szCs w:val="27"/>
        </w:rPr>
      </w:pPr>
    </w:p>
    <w:p>
      <w:pPr>
        <w:pStyle w:val="2"/>
        <w:spacing w:before="89" w:line="221" w:lineRule="auto"/>
        <w:ind w:left="2270"/>
        <w:jc w:val="both"/>
        <w:rPr>
          <w:spacing w:val="-22"/>
          <w:sz w:val="27"/>
          <w:szCs w:val="27"/>
        </w:rPr>
      </w:pPr>
    </w:p>
    <w:p>
      <w:pPr>
        <w:pStyle w:val="2"/>
        <w:spacing w:before="89" w:line="221" w:lineRule="auto"/>
        <w:jc w:val="both"/>
        <w:rPr>
          <w:spacing w:val="-22"/>
          <w:sz w:val="27"/>
          <w:szCs w:val="27"/>
        </w:rPr>
      </w:pPr>
    </w:p>
    <w:p>
      <w:pPr>
        <w:pStyle w:val="2"/>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pPr>
        <w:pStyle w:val="2"/>
        <w:spacing w:before="289" w:line="610" w:lineRule="exact"/>
        <w:ind w:firstLine="3172" w:firstLineChars="1300"/>
        <w:rPr>
          <w:spacing w:val="-13"/>
          <w:position w:val="26"/>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pPr>
        <w:pStyle w:val="2"/>
        <w:spacing w:before="289" w:line="610" w:lineRule="exact"/>
        <w:ind w:firstLine="3172" w:firstLineChars="1300"/>
        <w:rPr>
          <w:spacing w:val="-13"/>
          <w:position w:val="26"/>
          <w:sz w:val="27"/>
          <w:szCs w:val="27"/>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该项目根据湘人社发[2012] 64号《关于印发&lt;湖南省加强劳动人事争议处理效能建设实施方案&gt;的通知》文件而设立的劳动监察、仲裁办案费用。加强农民工人文关怀，有力维护劳动关系和谐稳定和提高劳动人事争议调解仲裁的水平，保证劳动监察工作正常运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w:t>
      </w:r>
      <w:r>
        <w:rPr>
          <w:rFonts w:hint="eastAsia" w:eastAsia="仿宋_GB2312"/>
          <w:kern w:val="0"/>
          <w:sz w:val="32"/>
          <w:szCs w:val="32"/>
          <w:lang w:val="en-US" w:eastAsia="zh-CN"/>
        </w:rPr>
        <w:t>有力维护劳动关系和谐稳定和提高劳动人事争议调解仲裁的水平，保证劳动监察工作正常运行。</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劳动维权办案专项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确保本年度劳动监察工作正常运行。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本单位项目支出决策根据实际情况制定实施方案，保证劳动监察工作正常运行，做到专款专用，合理安排项目资金。</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处理农民工工资拖欠问题次数及人数按计划完成，企业拖欠农民工工资足额发放比率与劳动人事争议调解成功率达到预期目标，时效在</w:t>
      </w:r>
      <w:r>
        <w:rPr>
          <w:rFonts w:hint="eastAsia" w:ascii="仿宋" w:hAnsi="仿宋" w:eastAsia="仿宋" w:cs="仿宋"/>
          <w:kern w:val="0"/>
          <w:sz w:val="32"/>
          <w:szCs w:val="32"/>
          <w:lang w:val="en-US" w:eastAsia="zh-CN"/>
        </w:rPr>
        <w:t>2023</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100</w:t>
      </w:r>
      <w:r>
        <w:rPr>
          <w:rFonts w:hint="eastAsia" w:eastAsia="仿宋_GB2312"/>
          <w:kern w:val="0"/>
          <w:sz w:val="32"/>
          <w:szCs w:val="32"/>
          <w:lang w:val="en-US" w:eastAsia="zh-CN"/>
        </w:rPr>
        <w:t>万元已完成。</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企业劳动合同签订率达到预期目标，劳动监察仲裁办事效率和水平不断提升，劳动人事争议调解仲裁的水平提升效益显著，社会公众对相关工作的满意度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事业单位人员招聘考试专项</w:t>
      </w:r>
      <w:r>
        <w:rPr>
          <w:rFonts w:ascii="黑体" w:hAnsi="黑体" w:eastAsia="黑体" w:cs="黑体"/>
          <w:spacing w:val="15"/>
          <w:position w:val="10"/>
          <w:sz w:val="42"/>
          <w:szCs w:val="42"/>
        </w:rPr>
        <w:t>项目支出</w:t>
      </w:r>
    </w:p>
    <w:p>
      <w:pPr>
        <w:spacing w:before="1" w:line="220" w:lineRule="auto"/>
        <w:ind w:left="3069" w:firstLine="440" w:firstLineChars="1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both"/>
        <w:rPr>
          <w:spacing w:val="-22"/>
          <w:sz w:val="27"/>
          <w:szCs w:val="27"/>
        </w:rPr>
      </w:pPr>
    </w:p>
    <w:p>
      <w:pPr>
        <w:pStyle w:val="2"/>
        <w:spacing w:before="89" w:line="221" w:lineRule="auto"/>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pPr>
        <w:pStyle w:val="2"/>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该项目根据湘人社函[2014] 314号《关于加强人事考试管理有关问题的通知》文件而设立的事业单位人员招聘考试费用。保证人事考试安全工作各项经费及时到位，维护考试公平公正。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保障人事考试安全工作各项经费及时到位，维护考试公平公正</w:t>
      </w:r>
      <w:r>
        <w:rPr>
          <w:rFonts w:hint="eastAsia" w:eastAsia="仿宋_GB2312"/>
          <w:kern w:val="0"/>
          <w:sz w:val="32"/>
          <w:szCs w:val="32"/>
          <w:lang w:val="en-US"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w:t>
      </w:r>
      <w:r>
        <w:rPr>
          <w:rFonts w:hint="eastAsia" w:eastAsia="仿宋_GB2312"/>
          <w:kern w:val="0"/>
          <w:sz w:val="32"/>
          <w:szCs w:val="32"/>
          <w:lang w:val="en-US" w:eastAsia="zh-CN"/>
        </w:rPr>
        <w:t>事业单位人员招聘考试</w:t>
      </w:r>
      <w:r>
        <w:rPr>
          <w:rFonts w:hint="eastAsia" w:ascii="仿宋_GB2312" w:hAnsi="仿宋_GB2312" w:eastAsia="仿宋_GB2312"/>
          <w:color w:val="auto"/>
          <w:sz w:val="32"/>
          <w:szCs w:val="32"/>
          <w:highlight w:val="none"/>
          <w:lang w:val="en-US" w:eastAsia="zh-CN"/>
        </w:rPr>
        <w:t>专项项目支出基本能够严格按照相关制度规定等进行。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确保本年度人事考试安全工作各项经费及时到位，维护考试公平公正。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w:t>
      </w:r>
      <w:r>
        <w:rPr>
          <w:rFonts w:hint="eastAsia" w:eastAsia="仿宋_GB2312"/>
          <w:kern w:val="0"/>
          <w:sz w:val="32"/>
          <w:szCs w:val="32"/>
          <w:lang w:val="en-US" w:eastAsia="zh-CN"/>
        </w:rPr>
        <w:t>事业单位人员招聘考试</w:t>
      </w:r>
      <w:r>
        <w:rPr>
          <w:rFonts w:hint="eastAsia" w:eastAsia="仿宋_GB2312"/>
          <w:kern w:val="0"/>
          <w:sz w:val="32"/>
          <w:szCs w:val="32"/>
          <w:lang w:eastAsia="zh-CN"/>
        </w:rPr>
        <w:t>工作正常运行，做到专款专用，合理安排项目资金。</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事业单位公开招聘人数按计划完成，聘用人员到岗率以及聘用人员年度考核合格率达到预期目标，时效在</w:t>
      </w:r>
      <w:r>
        <w:rPr>
          <w:rFonts w:hint="eastAsia" w:ascii="仿宋" w:hAnsi="仿宋" w:eastAsia="仿宋" w:cs="仿宋"/>
          <w:kern w:val="0"/>
          <w:sz w:val="32"/>
          <w:szCs w:val="32"/>
          <w:lang w:val="en-US" w:eastAsia="zh-CN"/>
        </w:rPr>
        <w:t>2023</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30</w:t>
      </w:r>
      <w:r>
        <w:rPr>
          <w:rFonts w:hint="eastAsia" w:eastAsia="仿宋_GB2312"/>
          <w:kern w:val="0"/>
          <w:sz w:val="32"/>
          <w:szCs w:val="32"/>
          <w:lang w:val="en-US" w:eastAsia="zh-CN"/>
        </w:rPr>
        <w:t>万元已完成。</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改善服务对象的办事体验达到预期目标，提供就业岗位数按计划完成，营造良好的人才引进和服务环境氛围，促进我城区的人才队伍建设效益显著，社会公众对相关工作的满意度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before="201" w:line="578" w:lineRule="exact"/>
        <w:ind w:left="3080" w:hanging="3080" w:hangingChars="700"/>
        <w:jc w:val="both"/>
        <w:rPr>
          <w:rFonts w:hint="eastAsia" w:ascii="黑体" w:hAnsi="黑体" w:eastAsia="黑体" w:cs="黑体"/>
          <w:sz w:val="42"/>
          <w:szCs w:val="42"/>
          <w:lang w:eastAsia="zh-CN"/>
        </w:rPr>
      </w:pPr>
      <w:r>
        <w:rPr>
          <w:rFonts w:hint="eastAsia" w:ascii="黑体" w:hAnsi="黑体" w:eastAsia="黑体" w:cs="黑体"/>
          <w:spacing w:val="10"/>
          <w:sz w:val="42"/>
          <w:szCs w:val="42"/>
          <w:lang w:val="en-US" w:eastAsia="zh-CN"/>
        </w:rPr>
        <w:t>2023年度城乡居民养老保险征收及死亡认证奖励经费项</w:t>
      </w:r>
      <w:r>
        <w:rPr>
          <w:rFonts w:ascii="黑体" w:hAnsi="黑体" w:eastAsia="黑体" w:cs="黑体"/>
          <w:spacing w:val="10"/>
          <w:sz w:val="42"/>
          <w:szCs w:val="42"/>
        </w:rPr>
        <w:t>目</w:t>
      </w:r>
      <w:r>
        <w:rPr>
          <w:rFonts w:hint="eastAsia" w:ascii="黑体" w:hAnsi="黑体" w:eastAsia="黑体" w:cs="黑体"/>
          <w:spacing w:val="10"/>
          <w:sz w:val="42"/>
          <w:szCs w:val="42"/>
          <w:lang w:eastAsia="zh-CN"/>
        </w:rPr>
        <w:t>支出</w:t>
      </w:r>
    </w:p>
    <w:p>
      <w:pPr>
        <w:spacing w:before="1" w:line="220" w:lineRule="auto"/>
        <w:ind w:firstLine="3080" w:firstLineChars="700"/>
        <w:jc w:val="both"/>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pPr>
        <w:pStyle w:val="2"/>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pPr>
        <w:pStyle w:val="2"/>
        <w:spacing w:before="1" w:line="223" w:lineRule="auto"/>
        <w:ind w:left="3560"/>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lang w:val="en-US" w:eastAsia="en-US"/>
        </w:rPr>
      </w:pPr>
      <w:r>
        <w:rPr>
          <w:rFonts w:ascii="仿宋_GB2312" w:hAnsi="仿宋_GB2312" w:eastAsia="黑体"/>
          <w:color w:val="auto"/>
          <w:sz w:val="32"/>
          <w:szCs w:val="32"/>
          <w:highlight w:val="none"/>
          <w:lang w:val="en-US" w:eastAsia="en-US"/>
        </w:rPr>
        <w:t>一 、项目支出基本情况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lang w:val="en-US" w:eastAsia="en-US"/>
        </w:rPr>
      </w:pPr>
      <w:r>
        <w:rPr>
          <w:rFonts w:hint="eastAsia" w:ascii="仿宋_GB2312" w:hAnsi="仿宋_GB2312" w:eastAsia="黑体"/>
          <w:color w:val="auto"/>
          <w:sz w:val="32"/>
          <w:szCs w:val="32"/>
          <w:highlight w:val="none"/>
          <w:lang w:val="en-US" w:eastAsia="zh-CN"/>
        </w:rPr>
        <w:t>（一）</w:t>
      </w:r>
      <w:r>
        <w:rPr>
          <w:rFonts w:ascii="仿宋_GB2312" w:hAnsi="仿宋_GB2312" w:eastAsia="黑体"/>
          <w:color w:val="auto"/>
          <w:sz w:val="32"/>
          <w:szCs w:val="32"/>
          <w:highlight w:val="none"/>
          <w:lang w:val="en-US" w:eastAsia="en-US"/>
        </w:rPr>
        <w:t>项目支出概况。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仿宋_GB2312" w:hAnsi="仿宋_GB2312" w:eastAsia="仿宋_GB2312" w:cs="Times New Roman"/>
          <w:spacing w:val="0"/>
          <w:sz w:val="32"/>
          <w:szCs w:val="32"/>
        </w:rPr>
        <w:t>汨罗市社会保险服务中心工作职责为统筹建立社会保障体系，组织实施社会保险及补充保险政策和标准。落实基本养老保险和社会保障基金投资政策。根据汨府阅[2012]6号《关于城乡居民社会养老保险试点工作的会议纪要》文件精神，社保征缴经费按服务的参保对象每人每年3元的标准安排预算，经费分配比例为：市级1.4元/人、乡镇0.6元/人、村级1元/人。为深入扩大社会保险覆盖面，提升社会保险费征缴率，增强社会保险基金抗风险能力，推荐我市社会保险事业的完善和发展，结合当前全市参保情况，本单位至少需要</w:t>
      </w:r>
      <w:r>
        <w:rPr>
          <w:rFonts w:hint="eastAsia" w:ascii="仿宋_GB2312" w:hAnsi="仿宋_GB2312" w:eastAsia="仿宋_GB2312" w:cs="Times New Roman"/>
          <w:spacing w:val="0"/>
          <w:sz w:val="32"/>
          <w:szCs w:val="32"/>
          <w:lang w:val="en-US" w:eastAsia="zh-CN"/>
        </w:rPr>
        <w:t>99</w:t>
      </w:r>
      <w:r>
        <w:rPr>
          <w:rFonts w:hint="eastAsia" w:ascii="仿宋_GB2312" w:hAnsi="仿宋_GB2312" w:eastAsia="仿宋_GB2312" w:cs="Times New Roman"/>
          <w:spacing w:val="0"/>
          <w:sz w:val="32"/>
          <w:szCs w:val="32"/>
        </w:rPr>
        <w:t>万征收经费开展社保征收工作。</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lang w:val="en-US" w:eastAsia="en-US"/>
        </w:rPr>
      </w:pPr>
      <w:r>
        <w:rPr>
          <w:rFonts w:hint="eastAsia" w:ascii="仿宋_GB2312" w:hAnsi="仿宋_GB2312" w:eastAsia="黑体"/>
          <w:color w:val="auto"/>
          <w:sz w:val="32"/>
          <w:szCs w:val="32"/>
          <w:highlight w:val="none"/>
          <w:lang w:val="en-US" w:eastAsia="zh-CN"/>
        </w:rPr>
        <w:t>（二）</w:t>
      </w:r>
      <w:r>
        <w:rPr>
          <w:rFonts w:ascii="仿宋_GB2312" w:hAnsi="仿宋_GB2312" w:eastAsia="黑体"/>
          <w:color w:val="auto"/>
          <w:sz w:val="32"/>
          <w:szCs w:val="32"/>
          <w:highlight w:val="none"/>
          <w:lang w:val="en-US" w:eastAsia="en-US"/>
        </w:rPr>
        <w:t>项目资金使用管理情况。</w:t>
      </w:r>
    </w:p>
    <w:p>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Times New Roman"/>
          <w:snapToGrid w:val="0"/>
          <w:color w:val="000000"/>
          <w:spacing w:val="0"/>
          <w:kern w:val="0"/>
          <w:sz w:val="32"/>
          <w:szCs w:val="32"/>
          <w:lang w:val="en-US" w:eastAsia="en-US" w:bidi="ar-SA"/>
        </w:rPr>
      </w:pPr>
      <w:r>
        <w:rPr>
          <w:rFonts w:hint="eastAsia" w:ascii="仿宋_GB2312" w:hAnsi="仿宋_GB2312" w:eastAsia="仿宋_GB2312" w:cs="Times New Roman"/>
          <w:snapToGrid w:val="0"/>
          <w:color w:val="000000"/>
          <w:spacing w:val="0"/>
          <w:kern w:val="0"/>
          <w:sz w:val="32"/>
          <w:szCs w:val="32"/>
          <w:lang w:val="en-US" w:eastAsia="zh-CN" w:bidi="ar-SA"/>
        </w:rPr>
        <w:t>2023年度城乡居民养老保险征收及死亡认证奖励经费由财政拨付99万元，做到项目资金专款专用，在该年度已全部支出完毕，主要用于支付社保征缴工作中的办公开支、工作培训经费、根据各乡镇参保情况审核后再拨付到乡镇用于社保工作等。</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黑体"/>
          <w:color w:val="auto"/>
          <w:sz w:val="32"/>
          <w:szCs w:val="32"/>
          <w:highlight w:val="none"/>
          <w:lang w:val="en-US" w:eastAsia="zh-CN"/>
        </w:rPr>
      </w:pPr>
      <w:r>
        <w:rPr>
          <w:rFonts w:hint="eastAsia" w:ascii="仿宋_GB2312" w:hAnsi="仿宋_GB2312" w:eastAsia="黑体"/>
          <w:color w:val="auto"/>
          <w:sz w:val="32"/>
          <w:szCs w:val="32"/>
          <w:highlight w:val="none"/>
          <w:lang w:val="en-US" w:eastAsia="zh-CN"/>
        </w:rPr>
        <w:t>（三）</w:t>
      </w:r>
      <w:r>
        <w:rPr>
          <w:rFonts w:ascii="仿宋_GB2312" w:hAnsi="仿宋_GB2312" w:eastAsia="黑体"/>
          <w:color w:val="auto"/>
          <w:sz w:val="32"/>
          <w:szCs w:val="32"/>
          <w:highlight w:val="none"/>
          <w:lang w:val="en-US" w:eastAsia="en-US"/>
        </w:rPr>
        <w:t>项目支出绩效目标完成程度</w:t>
      </w:r>
      <w:r>
        <w:rPr>
          <w:rFonts w:hint="eastAsia" w:ascii="仿宋_GB2312" w:hAnsi="仿宋_GB2312" w:eastAsia="黑体"/>
          <w:color w:val="auto"/>
          <w:sz w:val="32"/>
          <w:szCs w:val="32"/>
          <w:highlight w:val="none"/>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Times New Roman"/>
          <w:snapToGrid w:val="0"/>
          <w:color w:val="000000"/>
          <w:spacing w:val="0"/>
          <w:kern w:val="0"/>
          <w:sz w:val="32"/>
          <w:szCs w:val="32"/>
          <w:lang w:val="en-US" w:eastAsia="zh-CN" w:bidi="ar-SA"/>
        </w:rPr>
      </w:pPr>
      <w:r>
        <w:rPr>
          <w:rFonts w:hint="eastAsia" w:ascii="仿宋_GB2312" w:hAnsi="仿宋_GB2312" w:eastAsia="仿宋_GB2312" w:cs="Times New Roman"/>
          <w:snapToGrid w:val="0"/>
          <w:color w:val="000000"/>
          <w:spacing w:val="0"/>
          <w:kern w:val="0"/>
          <w:sz w:val="32"/>
          <w:szCs w:val="32"/>
          <w:lang w:val="en-US" w:eastAsia="zh-CN" w:bidi="ar-SA"/>
        </w:rPr>
        <w:t>一是用于扩面征缴的宣传工作，营造参保良好氛围。通过挂横幅、写标语、办宣传栏、流动宣传车等形式对我市社保扩面征缴工作全方位地宣传。动员各乡镇群众积极参与，使群众明白社会保险的意义和重要性。经过一段时间的努力，群众对于社保的认识有了很大的提高。为全年的社保扩面征缴工作顺利完成提供了坚实的保证。二是扩大社保覆盖面。社保工作人员不时深入企业调查，积极鼓励企业为职工进行企业养老保险参保，维护了职工的合法权益。对拒不参保、瞒报基数拒不整改、恶意欠费的用人单位依法督促其整改。联合各乡镇劳动保障站对居民参保进行动员，提高群众对参保的自觉性，对城乡居民养老保险和灵活就业人员参保政策进行宣传，扩大缴费面。三是对各乡镇劳动保障站社保工作人员加强指导、规范业务，提升服务。按照城乡居保征缴工作流程，严格人员信息管理，建立征缴台账，确保基金安全。</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黑体"/>
          <w:color w:val="auto"/>
          <w:sz w:val="32"/>
          <w:szCs w:val="32"/>
          <w:highlight w:val="none"/>
          <w:lang w:eastAsia="zh-CN"/>
        </w:rPr>
      </w:pPr>
      <w:r>
        <w:rPr>
          <w:rFonts w:ascii="仿宋_GB2312" w:hAnsi="仿宋_GB2312" w:eastAsia="黑体"/>
          <w:color w:val="auto"/>
          <w:sz w:val="32"/>
          <w:szCs w:val="32"/>
          <w:highlight w:val="none"/>
        </w:rPr>
        <w:t>二、</w:t>
      </w:r>
      <w:r>
        <w:rPr>
          <w:rFonts w:hint="eastAsia" w:ascii="仿宋_GB2312" w:hAnsi="仿宋_GB2312" w:eastAsia="黑体"/>
          <w:color w:val="auto"/>
          <w:sz w:val="32"/>
          <w:szCs w:val="32"/>
          <w:highlight w:val="none"/>
          <w:lang w:eastAsia="zh-CN"/>
        </w:rPr>
        <w:t>绩效工作评价情况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本项目资金使用情况良好，分阶段分期使用完毕。做到了合理有效使用资金，并且发挥了应有的效果。</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三、项目支出主要绩效及评价结论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我市社保征缴工作成效显著。在我单位社保工作人员和乡镇劳保站的共同努力和配合下，扩面征缴工作进展非常顺利，已超额完成市政府下达的扩面征缴任务。积极征缴、合理调度，确保了本年度社会保险基金圆满达标征缴目标，足额入库。</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四、绩效评价指标分析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（一）项目支出决策情况</w:t>
      </w:r>
    </w:p>
    <w:p>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68" w:firstLineChars="200"/>
        <w:textAlignment w:val="baseline"/>
        <w:rPr>
          <w:rFonts w:hint="eastAsia" w:ascii="仿宋_GB2312" w:hAnsi="仿宋_GB2312" w:eastAsia="仿宋_GB2312" w:cs="仿宋_GB2312"/>
          <w:color w:val="auto"/>
          <w:spacing w:val="7"/>
          <w:kern w:val="2"/>
          <w:sz w:val="32"/>
          <w:szCs w:val="32"/>
          <w:lang w:val="en" w:eastAsia="zh-CN" w:bidi="ar-SA"/>
        </w:rPr>
      </w:pPr>
      <w:r>
        <w:rPr>
          <w:rFonts w:hint="eastAsia" w:ascii="仿宋_GB2312" w:hAnsi="仿宋_GB2312" w:eastAsia="仿宋_GB2312" w:cs="仿宋_GB2312"/>
          <w:color w:val="auto"/>
          <w:spacing w:val="7"/>
          <w:kern w:val="2"/>
          <w:sz w:val="32"/>
          <w:szCs w:val="32"/>
          <w:lang w:val="en" w:eastAsia="zh-CN" w:bidi="ar-SA"/>
        </w:rPr>
        <w:t>本单位项目决策根据实际情况制定了实施规划</w:t>
      </w:r>
      <w:r>
        <w:rPr>
          <w:rFonts w:hint="default" w:ascii="仿宋_GB2312" w:hAnsi="仿宋_GB2312" w:eastAsia="仿宋_GB2312" w:cs="仿宋_GB2312"/>
          <w:color w:val="auto"/>
          <w:spacing w:val="7"/>
          <w:kern w:val="2"/>
          <w:sz w:val="32"/>
          <w:szCs w:val="32"/>
          <w:lang w:val="en" w:eastAsia="zh-CN" w:bidi="ar-SA"/>
        </w:rPr>
        <w:t>,</w:t>
      </w:r>
      <w:r>
        <w:rPr>
          <w:rFonts w:hint="eastAsia" w:ascii="仿宋_GB2312" w:hAnsi="仿宋_GB2312" w:eastAsia="仿宋_GB2312" w:cs="仿宋_GB2312"/>
          <w:color w:val="auto"/>
          <w:spacing w:val="7"/>
          <w:kern w:val="2"/>
          <w:sz w:val="32"/>
          <w:szCs w:val="32"/>
          <w:lang w:val="en" w:eastAsia="zh-CN" w:bidi="ar-SA"/>
        </w:rPr>
        <w:t>秉持“保民生、保工资、保运转”的理念，合理安排项目资金。</w:t>
      </w:r>
    </w:p>
    <w:p>
      <w:pPr>
        <w:keepNext w:val="0"/>
        <w:keepLines w:val="0"/>
        <w:pageBreakBefore w:val="0"/>
        <w:widowControl/>
        <w:numPr>
          <w:ilvl w:val="0"/>
          <w:numId w:val="5"/>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项目执行过程情况</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68" w:firstLineChars="200"/>
        <w:textAlignment w:val="baseline"/>
        <w:rPr>
          <w:rFonts w:hint="eastAsia" w:ascii="仿宋_GB2312" w:hAnsi="仿宋_GB2312" w:eastAsia="仿宋_GB2312" w:cs="仿宋_GB2312"/>
          <w:color w:val="auto"/>
          <w:spacing w:val="7"/>
          <w:kern w:val="2"/>
          <w:sz w:val="32"/>
          <w:szCs w:val="32"/>
          <w:lang w:val="en" w:eastAsia="zh-CN" w:bidi="ar-SA"/>
        </w:rPr>
      </w:pPr>
      <w:r>
        <w:rPr>
          <w:rFonts w:hint="eastAsia" w:ascii="仿宋_GB2312" w:hAnsi="仿宋_GB2312" w:eastAsia="仿宋_GB2312" w:cs="仿宋_GB2312"/>
          <w:color w:val="auto"/>
          <w:spacing w:val="7"/>
          <w:kern w:val="2"/>
          <w:sz w:val="32"/>
          <w:szCs w:val="32"/>
          <w:lang w:val="en" w:eastAsia="zh-CN" w:bidi="ar-SA"/>
        </w:rPr>
        <w:t>本单位项目在开展过程中严格按照相关制度规定等进行，按照实际情况支出，严禁挤占、挪用、虚列支出等情况发生。</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（三）项目支出产出情况</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68" w:firstLineChars="200"/>
        <w:textAlignment w:val="baseline"/>
        <w:rPr>
          <w:rFonts w:hint="default"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 w:eastAsia="zh-CN" w:bidi="ar-SA"/>
        </w:rPr>
        <w:t>本单位项目产出按照数量、质量、时效、成本等四个方面，根据各自情况，设置相关指标内容，用于跟踪项目工作的开展。全市养老保险参保人员数量已完成；社保征缴参保人员合规；时效在</w:t>
      </w:r>
      <w:r>
        <w:rPr>
          <w:rFonts w:hint="eastAsia" w:ascii="仿宋_GB2312" w:hAnsi="仿宋_GB2312" w:eastAsia="仿宋_GB2312" w:cs="仿宋_GB2312"/>
          <w:color w:val="auto"/>
          <w:spacing w:val="7"/>
          <w:kern w:val="2"/>
          <w:sz w:val="32"/>
          <w:szCs w:val="32"/>
          <w:lang w:val="en-US" w:eastAsia="zh-CN" w:bidi="ar-SA"/>
        </w:rPr>
        <w:t>2023年12月31日前已完成；成本指标99万已完成。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（四）项目支出效益情况</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68" w:firstLineChars="200"/>
        <w:textAlignment w:val="baseline"/>
        <w:rPr>
          <w:rFonts w:hint="default"/>
          <w:lang w:val="en" w:eastAsia="zh-CN"/>
        </w:rPr>
      </w:pPr>
      <w:r>
        <w:rPr>
          <w:rFonts w:hint="eastAsia" w:ascii="仿宋_GB2312" w:hAnsi="仿宋_GB2312" w:eastAsia="仿宋_GB2312" w:cs="仿宋_GB2312"/>
          <w:color w:val="auto"/>
          <w:spacing w:val="7"/>
          <w:kern w:val="2"/>
          <w:sz w:val="32"/>
          <w:szCs w:val="32"/>
          <w:lang w:val="en" w:eastAsia="zh-CN" w:bidi="ar-SA"/>
        </w:rPr>
        <w:t>本单位项目效益按照经济效益、社会效益、生态效益、服务对象满意度等四个方面，设置符合实际情况的指标内容，用于跟踪项目工作的开展。经济效益、社会效益完成良好；服务对象满意。</w:t>
      </w:r>
    </w:p>
    <w:p>
      <w:pPr>
        <w:keepNext w:val="0"/>
        <w:keepLines w:val="0"/>
        <w:pageBreakBefore w:val="0"/>
        <w:widowControl/>
        <w:numPr>
          <w:ilvl w:val="0"/>
          <w:numId w:val="0"/>
        </w:numPr>
        <w:kinsoku/>
        <w:wordWrap/>
        <w:overflowPunct/>
        <w:topLinePunct w:val="0"/>
        <w:autoSpaceDE/>
        <w:autoSpaceDN/>
        <w:bidi w:val="0"/>
        <w:adjustRightInd/>
        <w:spacing w:line="560" w:lineRule="exact"/>
        <w:ind w:leftChars="200" w:firstLine="320" w:firstLineChars="1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五、主要经验及做法、存在的问题及原因分析</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在项目资金实施过程中我单位按照分时分段以及提前做好规划，合理制定工作方案等方式合规有序使用资金。</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但是在征缴工作中依然存在以下问题：1.部分人员存在观望情绪。大部分农村居民经济条件并不宽裕，历史形成的“养儿防老，积谷防饥”传统的家庭</w:t>
      </w:r>
      <w:r>
        <w:rPr>
          <w:rFonts w:hint="eastAsia" w:ascii="仿宋_GB2312" w:hAnsi="仿宋_GB2312" w:eastAsia="仿宋_GB2312" w:cs="仿宋_GB2312"/>
          <w:color w:val="auto"/>
          <w:spacing w:val="7"/>
          <w:kern w:val="2"/>
          <w:sz w:val="32"/>
          <w:szCs w:val="32"/>
          <w:lang w:val="en-US" w:eastAsia="zh-CN" w:bidi="ar-SA"/>
        </w:rPr>
        <w:t>养老观念根深蒂固，加之多数老年人文化水平不高，政策理解有限。参保对象中的中青年人员又存在等待观望情绪，认为自己还年轻，离领取养老待遇还有很长一段时间，存在等待观望思想。2.乡镇年轻劳动力常住人口少，扩面征缴难。近年外出务工经商人员多，对社保政策不知晓，没有防老的意识，还有些已在务工所在地参加了养老保险，这些都为社保扩面工作增加了难度。3.乡镇社保工作人员人手不足，参保信息工作量大，错误信息多。参保人的身份信息存在录入错误，参保重复等情况。</w:t>
      </w:r>
    </w:p>
    <w:p>
      <w:pPr>
        <w:pStyle w:val="3"/>
        <w:numPr>
          <w:ilvl w:val="0"/>
          <w:numId w:val="0"/>
        </w:numPr>
        <w:ind w:firstLine="640" w:firstLineChars="200"/>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黑体" w:cs="Times New Roman"/>
          <w:color w:val="auto"/>
          <w:kern w:val="2"/>
          <w:sz w:val="32"/>
          <w:szCs w:val="32"/>
          <w:highlight w:val="none"/>
          <w:lang w:val="en-US" w:eastAsia="zh-CN" w:bidi="ar-SA"/>
        </w:rPr>
        <w:t>六、有关建议</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1002" w:firstLineChars="300"/>
        <w:textAlignment w:val="baseline"/>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1、强化宣传，巩固提高成绩。继续发扬攻坚克难的优良作风，加大宣传力度，确保老百姓对社会养老保险政策的理解更加透彻，达到自愿参保和续保。</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1002" w:firstLineChars="300"/>
        <w:textAlignment w:val="baseline"/>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2、加强培训，提升业务能力。进一步加强经办人员业务能力的提升，每年组织乡镇社保中心人员业务培训，使他们及时掌握城乡居保新政策，熟练操作系统软件，通过培训，做到经办工作人员懂业务，熟政策。</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1002" w:firstLineChars="300"/>
        <w:textAlignment w:val="baseline"/>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3、认真学习，创新工作思路。社保政策随时在更新，政策性强，需要我们在工作中不断加强学习和总结。在干中学、学中干，我们要以工作任务为牵引，依托工作岗位来学习提高。观察、摸索、查阅资料，问书本、问同事，不断丰富知识，掌握工作技巧，不断掌握方法，积累经验。摸清工作中的难点，找准切入点，使征缴工作健康有序推进。</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七、其他需要说明的问题</w:t>
      </w:r>
    </w:p>
    <w:p>
      <w:pPr>
        <w:pStyle w:val="3"/>
        <w:numPr>
          <w:ilvl w:val="0"/>
          <w:numId w:val="0"/>
        </w:numPr>
        <w:ind w:firstLine="668" w:firstLineChars="200"/>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before="201" w:line="578" w:lineRule="exact"/>
        <w:ind w:firstLine="1350" w:firstLineChars="300"/>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复退军人生活补助</w:t>
      </w:r>
      <w:r>
        <w:rPr>
          <w:rFonts w:ascii="黑体" w:hAnsi="黑体" w:eastAsia="黑体" w:cs="黑体"/>
          <w:spacing w:val="15"/>
          <w:position w:val="10"/>
          <w:sz w:val="42"/>
          <w:szCs w:val="42"/>
        </w:rPr>
        <w:t>项目支出</w:t>
      </w:r>
    </w:p>
    <w:p>
      <w:pPr>
        <w:spacing w:before="1" w:line="220" w:lineRule="auto"/>
        <w:ind w:left="3069" w:firstLine="440" w:firstLineChars="1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spacing w:val="-22"/>
          <w:sz w:val="27"/>
          <w:szCs w:val="27"/>
        </w:rPr>
      </w:pPr>
    </w:p>
    <w:p>
      <w:pPr>
        <w:pStyle w:val="2"/>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pPr>
        <w:spacing w:before="137" w:line="221" w:lineRule="auto"/>
        <w:ind w:left="2336" w:firstLine="976" w:firstLineChars="400"/>
        <w:rPr>
          <w:spacing w:val="-13"/>
          <w:position w:val="26"/>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pPr>
        <w:spacing w:before="137" w:line="221" w:lineRule="auto"/>
        <w:ind w:left="2336"/>
        <w:rPr>
          <w:spacing w:val="-13"/>
          <w:position w:val="26"/>
          <w:sz w:val="27"/>
          <w:szCs w:val="27"/>
        </w:rPr>
      </w:pPr>
    </w:p>
    <w:p>
      <w:pPr>
        <w:spacing w:before="137" w:line="221" w:lineRule="auto"/>
        <w:ind w:left="2336"/>
        <w:rPr>
          <w:rFonts w:ascii="黑体" w:hAnsi="黑体" w:eastAsia="黑体" w:cs="黑体"/>
          <w:b/>
          <w:bCs/>
          <w:spacing w:val="6"/>
          <w:sz w:val="42"/>
          <w:szCs w:val="42"/>
        </w:rPr>
      </w:pPr>
      <w:bookmarkStart w:id="1" w:name="_GoBack"/>
      <w:bookmarkEnd w:id="1"/>
      <w:r>
        <w:rPr>
          <w:rFonts w:ascii="黑体" w:hAnsi="黑体" w:eastAsia="黑体" w:cs="黑体"/>
          <w:b/>
          <w:bCs/>
          <w:spacing w:val="6"/>
          <w:sz w:val="42"/>
          <w:szCs w:val="42"/>
        </w:rPr>
        <w:t>项目支出绩效评价报告</w:t>
      </w:r>
    </w:p>
    <w:p>
      <w:pPr>
        <w:pStyle w:val="3"/>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r>
        <w:rPr>
          <w:rFonts w:hint="eastAsia" w:eastAsia="仿宋_GB2312"/>
          <w:kern w:val="0"/>
          <w:sz w:val="32"/>
          <w:szCs w:val="32"/>
          <w:lang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本项目资金用于对企业下岗失业的复退军人（简称“四类人员”包括1、转业志愿兵2、伤残军人3、参战军人4、涉核军人）生活补助,有力维护劳动关系和谐稳定、进一步健全劳动体制机制。</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复退军人生活补助项目，</w:t>
      </w:r>
      <w:r>
        <w:rPr>
          <w:rFonts w:hint="eastAsia" w:eastAsia="仿宋_GB2312"/>
          <w:kern w:val="0"/>
          <w:sz w:val="32"/>
          <w:szCs w:val="32"/>
          <w:lang w:val="en-US" w:eastAsia="en-US"/>
        </w:rPr>
        <w:t>根据《就业促进法》、《湖南省就业困难人员就业援助实施办法》湘政办发﹝2009﹞34号、《湖南省就业专项资金使用管理办法》湘政办发﹝2012﹞15号、《湖南省人力资源和社会保障厅 湖南省财政厅关于进一步规范公益性岗位开发和管理有关问题的通知》湘人社发﹝2013﹞93号以及就业困难援助等相关政策文件，结合汨罗实际，需要对企业下岗失业的复退军人（简称“四类人员”包括1、转业志愿兵2、伤残军人3、参战军人4、涉核军人）给予公益性岗位补贴。根据2011年市委市政府关于“四类人员”问题处理的会议要求，从2011年起由就业服务局对四类人员共计144人按公益性岗位526元/月进行补贴，复退军人公益性岗位补贴从就业补助资金中列支，自2011年至2019共计支出16921200元（明细见附表），财政按200元/月共计345600元对就业服务局给予补贴。2020年9月岳阳审计对汨罗市贯彻落实重大政策措施情况跟踪审计中指出复退军人超期享受公益性岗位补贴，追回公益性岗位补贴2257100元，复退军人公益性岗位补贴执行至2019年；根据汨府阅﹝2021﹞4号，关于城镇退役军人“四类人员”信访问题的会议纪要，明确市人社局2020年1月至2022年12月每年统筹就业创业服务补助资金1000000元由财政整合资金兜底解决“四类人员”社保、医保等。</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复退军人生活补助项目资金使用情况良好，分阶段分期使用完毕。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三、</w:t>
      </w: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根据《汨罗市财政局关于开展2023年度部门整体支出和项目支出绩效自评工作的通知》等相关文件要求，我单位制定了绩效自评方案，成立了工作领导小组，严格按照方案要求，及时发现问题，解决问题，形成了本自评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本年度落实了按时足额发放复退军人生活补助，有力维护了劳动关系和谐稳定，保障了就业工作平稳有序开展。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本单位项目决策根据实际情况制定了实施规划，秉持维护劳动关系和谐稳定的理念，合理安排项目资金。</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本单位项目在开展过程中严格按照相关制度规定等进行，按照实际情况支出，严禁挤占、挪用、虚列支出等情况发生。</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本单位项目产出按照数量、质量、时效、成本等四个方面，根据各自情况，设置相关指标内容，用于跟踪项目工作的开展。</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仿宋_GB2312" w:hAnsi="仿宋_GB2312" w:eastAsia="仿宋_GB2312" w:cs="Times New Roman"/>
          <w:snapToGrid w:val="0"/>
          <w:color w:val="000000"/>
          <w:spacing w:val="0"/>
          <w:kern w:val="2"/>
          <w:sz w:val="32"/>
          <w:szCs w:val="32"/>
          <w:lang w:val="en-US" w:eastAsia="zh-CN" w:bidi="ar-SA"/>
        </w:rPr>
        <w:t>本单位项目效益按照经济效益、</w:t>
      </w:r>
      <w:r>
        <w:rPr>
          <w:rFonts w:hint="eastAsia" w:ascii="仿宋_GB2312" w:hAnsi="仿宋_GB2312" w:eastAsia="仿宋_GB2312" w:cs="Times New Roman"/>
          <w:spacing w:val="0"/>
          <w:kern w:val="2"/>
          <w:sz w:val="32"/>
          <w:szCs w:val="32"/>
          <w:lang w:val="en-US" w:eastAsia="zh-CN" w:bidi="ar-SA"/>
        </w:rPr>
        <w:t>社会效益</w:t>
      </w:r>
      <w:r>
        <w:rPr>
          <w:rFonts w:hint="eastAsia" w:ascii="仿宋_GB2312" w:hAnsi="仿宋_GB2312" w:eastAsia="仿宋_GB2312" w:cs="Times New Roman"/>
          <w:snapToGrid w:val="0"/>
          <w:color w:val="000000"/>
          <w:spacing w:val="0"/>
          <w:kern w:val="2"/>
          <w:sz w:val="32"/>
          <w:szCs w:val="32"/>
          <w:lang w:val="en-US" w:eastAsia="zh-CN" w:bidi="ar-SA"/>
        </w:rPr>
        <w:t>、生态效益、服务对象满意度等四个方面，设置符合实际情况的指标内容，用于跟</w:t>
      </w:r>
      <w:r>
        <w:rPr>
          <w:rFonts w:hint="eastAsia" w:ascii="仿宋_GB2312" w:hAnsi="仿宋_GB2312" w:eastAsia="仿宋_GB2312" w:cs="Times New Roman"/>
          <w:spacing w:val="0"/>
          <w:kern w:val="2"/>
          <w:sz w:val="32"/>
          <w:szCs w:val="32"/>
          <w:lang w:val="en-US" w:eastAsia="zh-CN" w:bidi="ar-SA"/>
        </w:rPr>
        <w:t>踪项目工作的开展。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在项目资金实施过程中我单位按照分时分段以及提前做好规划，合理制定工作方案等方式合规有序使用资金。但是在工作过程中，工作量大，工作任务重，执法监督人手不足，工作压力较大。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pPr>
      <w:r>
        <w:rPr>
          <w:rFonts w:hint="eastAsia" w:ascii="仿宋_GB2312" w:hAnsi="仿宋_GB2312" w:eastAsia="仿宋_GB2312" w:cs="仿宋_GB2312"/>
          <w:color w:val="auto"/>
          <w:spacing w:val="7"/>
          <w:kern w:val="2"/>
          <w:sz w:val="32"/>
          <w:szCs w:val="32"/>
          <w:lang w:val="en-US" w:eastAsia="zh-CN" w:bidi="ar-SA"/>
        </w:rPr>
        <w:t>我单位将继续深入贯彻落实省厅关于进一步加强社会保险基金管理风险防控工作的实施意见，努力构建政策、经办、信息、监督四位一体的风险防控工作机制，切实维护基金安全完整。同时，采取多种方式，突出抓好经常性警示教育，进一步增强人员的风险防控意识，树立底线思维，努力推动汨罗市就业服务事业健康快速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七、</w:t>
      </w: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253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8A9C6"/>
    <w:multiLevelType w:val="singleLevel"/>
    <w:tmpl w:val="88D8A9C6"/>
    <w:lvl w:ilvl="0" w:tentative="0">
      <w:start w:val="2"/>
      <w:numFmt w:val="chineseCounting"/>
      <w:lvlText w:val="(%1)"/>
      <w:lvlJc w:val="left"/>
      <w:pPr>
        <w:tabs>
          <w:tab w:val="left" w:pos="312"/>
        </w:tabs>
      </w:pPr>
      <w:rPr>
        <w:rFonts w:hint="eastAsia"/>
      </w:rPr>
    </w:lvl>
  </w:abstractNum>
  <w:abstractNum w:abstractNumId="1">
    <w:nsid w:val="A4A80F8C"/>
    <w:multiLevelType w:val="singleLevel"/>
    <w:tmpl w:val="A4A80F8C"/>
    <w:lvl w:ilvl="0" w:tentative="0">
      <w:start w:val="1"/>
      <w:numFmt w:val="chineseCounting"/>
      <w:lvlText w:val="(%1)"/>
      <w:lvlJc w:val="left"/>
      <w:pPr>
        <w:tabs>
          <w:tab w:val="left" w:pos="312"/>
        </w:tabs>
      </w:pPr>
      <w:rPr>
        <w:rFonts w:hint="eastAsia"/>
      </w:rPr>
    </w:lvl>
  </w:abstractNum>
  <w:abstractNum w:abstractNumId="2">
    <w:nsid w:val="CACD13D2"/>
    <w:multiLevelType w:val="singleLevel"/>
    <w:tmpl w:val="CACD13D2"/>
    <w:lvl w:ilvl="0" w:tentative="0">
      <w:start w:val="6"/>
      <w:numFmt w:val="chineseCounting"/>
      <w:suff w:val="nothing"/>
      <w:lvlText w:val="%1、"/>
      <w:lvlJc w:val="left"/>
      <w:rPr>
        <w:rFonts w:hint="eastAsia"/>
      </w:rPr>
    </w:lvl>
  </w:abstractNum>
  <w:abstractNum w:abstractNumId="3">
    <w:nsid w:val="D990B001"/>
    <w:multiLevelType w:val="singleLevel"/>
    <w:tmpl w:val="D990B001"/>
    <w:lvl w:ilvl="0" w:tentative="0">
      <w:start w:val="1"/>
      <w:numFmt w:val="chineseCounting"/>
      <w:lvlText w:val="(%1)"/>
      <w:lvlJc w:val="left"/>
      <w:pPr>
        <w:tabs>
          <w:tab w:val="left" w:pos="312"/>
        </w:tabs>
      </w:pPr>
      <w:rPr>
        <w:rFonts w:hint="eastAsia"/>
      </w:rPr>
    </w:lvl>
  </w:abstractNum>
  <w:abstractNum w:abstractNumId="4">
    <w:nsid w:val="F18DE1F9"/>
    <w:multiLevelType w:val="singleLevel"/>
    <w:tmpl w:val="F18DE1F9"/>
    <w:lvl w:ilvl="0" w:tentative="0">
      <w:start w:val="2"/>
      <w:numFmt w:val="chineseCounting"/>
      <w:lvlText w:val="(%1)"/>
      <w:lvlJc w:val="left"/>
      <w:pPr>
        <w:tabs>
          <w:tab w:val="left" w:pos="312"/>
        </w:tabs>
      </w:pPr>
      <w:rPr>
        <w:rFonts w:hint="eastAsia"/>
      </w:rPr>
    </w:lvl>
  </w:abstractNum>
  <w:abstractNum w:abstractNumId="5">
    <w:nsid w:val="10358F6C"/>
    <w:multiLevelType w:val="singleLevel"/>
    <w:tmpl w:val="10358F6C"/>
    <w:lvl w:ilvl="0" w:tentative="0">
      <w:start w:val="2"/>
      <w:numFmt w:val="chineseCounting"/>
      <w:suff w:val="nothing"/>
      <w:lvlText w:val="%1、"/>
      <w:lvlJc w:val="left"/>
      <w:rPr>
        <w:rFonts w:hint="eastAsia"/>
      </w:rPr>
    </w:lvl>
  </w:abstractNum>
  <w:abstractNum w:abstractNumId="6">
    <w:nsid w:val="5DCAE475"/>
    <w:multiLevelType w:val="singleLevel"/>
    <w:tmpl w:val="5DCAE475"/>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ZmNDc4MjZiMjE0MmNkMjIxOTNkMTc0ZDZkMmRjNjIifQ=="/>
  </w:docVars>
  <w:rsids>
    <w:rsidRoot w:val="00000000"/>
    <w:rsid w:val="01AF3811"/>
    <w:rsid w:val="03795BF7"/>
    <w:rsid w:val="086E756B"/>
    <w:rsid w:val="0ACF37E5"/>
    <w:rsid w:val="0B400BC6"/>
    <w:rsid w:val="0E68228D"/>
    <w:rsid w:val="0EA6787F"/>
    <w:rsid w:val="145209AE"/>
    <w:rsid w:val="15276E52"/>
    <w:rsid w:val="19D32FBC"/>
    <w:rsid w:val="1E6A4395"/>
    <w:rsid w:val="242A5471"/>
    <w:rsid w:val="25557A3D"/>
    <w:rsid w:val="26EA5ED7"/>
    <w:rsid w:val="27A93B82"/>
    <w:rsid w:val="2AE00186"/>
    <w:rsid w:val="308216BE"/>
    <w:rsid w:val="34FE1149"/>
    <w:rsid w:val="3A550786"/>
    <w:rsid w:val="3B7A130F"/>
    <w:rsid w:val="494A1329"/>
    <w:rsid w:val="4F8B6063"/>
    <w:rsid w:val="52FA3F96"/>
    <w:rsid w:val="55850F17"/>
    <w:rsid w:val="576C35FB"/>
    <w:rsid w:val="57AE6D93"/>
    <w:rsid w:val="5FB623A7"/>
    <w:rsid w:val="6E3851B0"/>
    <w:rsid w:val="70CE576B"/>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Body Text Indent 2"/>
    <w:basedOn w:val="1"/>
    <w:unhideWhenUsed/>
    <w:qFormat/>
    <w:uiPriority w:val="0"/>
    <w:pPr>
      <w:spacing w:after="120" w:line="480" w:lineRule="auto"/>
      <w:ind w:left="420" w:leftChars="200"/>
    </w:pPr>
  </w:style>
  <w:style w:type="paragraph" w:styleId="4">
    <w:name w:val="footer"/>
    <w:basedOn w:val="1"/>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1893</Words>
  <Characters>1955</Characters>
  <TotalTime>1</TotalTime>
  <ScaleCrop>false</ScaleCrop>
  <LinksUpToDate>false</LinksUpToDate>
  <CharactersWithSpaces>2119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2024-10-17T13:33:22Z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2052-12.1.0.15712</vt:lpwstr>
  </property>
  <property fmtid="{D5CDD505-2E9C-101B-9397-08002B2CF9AE}" pid="6" name="ICV">
    <vt:lpwstr>561B17DE5C234218857D77E311E0496E_13</vt:lpwstr>
  </property>
</Properties>
</file>