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color="auto" w:fill="auto"/>
            <w:vAlign w:val="center"/>
          </w:tcPr>
          <w:p w14:paraId="1C1EF02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1.80</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0.41</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shd w:val="clear" w:color="auto" w:fill="auto"/>
            <w:vAlign w:val="center"/>
          </w:tcPr>
          <w:p w14:paraId="2BB3E60E">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shd w:val="clear" w:color="auto" w:fill="auto"/>
            <w:vAlign w:val="center"/>
          </w:tcPr>
          <w:p w14:paraId="31BDC46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shd w:val="clear" w:color="auto" w:fill="auto"/>
            <w:vAlign w:val="center"/>
          </w:tcPr>
          <w:p w14:paraId="6581D34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shd w:val="clear" w:color="auto" w:fill="auto"/>
            <w:vAlign w:val="center"/>
          </w:tcPr>
          <w:p w14:paraId="6F82C849">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1.80</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shd w:val="clear" w:color="auto" w:fill="auto"/>
            <w:vAlign w:val="center"/>
          </w:tcPr>
          <w:p w14:paraId="6B7C6FF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161.98</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193.31</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shd w:val="clear" w:color="auto" w:fill="auto"/>
            <w:vAlign w:val="center"/>
          </w:tcPr>
          <w:p w14:paraId="5C6C607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104.98</w:t>
            </w:r>
          </w:p>
        </w:tc>
        <w:tc>
          <w:tcPr>
            <w:tcW w:w="2039" w:type="dxa"/>
            <w:gridSpan w:val="2"/>
            <w:vAlign w:val="center"/>
          </w:tcPr>
          <w:p w14:paraId="142D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1983" w:type="dxa"/>
            <w:gridSpan w:val="2"/>
            <w:vAlign w:val="center"/>
          </w:tcPr>
          <w:p w14:paraId="2E8DC0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154.85</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shd w:val="clear" w:color="auto" w:fill="auto"/>
            <w:vAlign w:val="center"/>
          </w:tcPr>
          <w:p w14:paraId="7757DF50">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57</w:t>
            </w:r>
          </w:p>
        </w:tc>
        <w:tc>
          <w:tcPr>
            <w:tcW w:w="2039" w:type="dxa"/>
            <w:gridSpan w:val="2"/>
            <w:vAlign w:val="center"/>
          </w:tcPr>
          <w:p w14:paraId="31C696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14:paraId="1F7D72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38.46</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color="auto" w:fill="auto"/>
            <w:vAlign w:val="center"/>
          </w:tcPr>
          <w:p w14:paraId="482AEA10">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41.10</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32.47</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41.84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7.20</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1.69</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9.98</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5.85</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1.17</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按照财政规定控制成本</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0B23E23F">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汨罗市老干部事务中心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212.35</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391.34</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391.34</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391.34</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198.02</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193.31</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16C814A5">
            <w:pPr>
              <w:spacing w:line="240" w:lineRule="auto"/>
              <w:ind w:firstLine="420"/>
              <w:jc w:val="left"/>
              <w:rPr>
                <w:rFonts w:hint="eastAsia" w:ascii="仿宋_GB2312" w:eastAsia="仿宋_GB2312"/>
                <w:kern w:val="0"/>
              </w:rPr>
            </w:pPr>
            <w:r>
              <w:rPr>
                <w:rFonts w:hint="eastAsia" w:ascii="仿宋_GB2312" w:eastAsia="仿宋_GB2312"/>
                <w:kern w:val="0"/>
              </w:rPr>
              <w:t>目标1：贯彻执行党中央、国务院和省委省政府关于老干部工作的方针政策以及市委、市政府的有关指示精神，认真做好离休干部和退休县处级干部的管理服务，检查督促老干部政治待遇和生活待遇的落实。</w:t>
            </w:r>
          </w:p>
          <w:p w14:paraId="5F1B807E">
            <w:pPr>
              <w:spacing w:line="240" w:lineRule="auto"/>
              <w:ind w:firstLine="420"/>
              <w:jc w:val="left"/>
              <w:rPr>
                <w:rFonts w:hint="eastAsia" w:ascii="仿宋_GB2312" w:eastAsia="仿宋_GB2312"/>
                <w:kern w:val="0"/>
              </w:rPr>
            </w:pPr>
            <w:r>
              <w:rPr>
                <w:rFonts w:hint="eastAsia" w:ascii="仿宋_GB2312" w:eastAsia="仿宋_GB2312"/>
                <w:kern w:val="0"/>
              </w:rPr>
              <w:t>目标2：会同有关方面做好老干部的医疗保健工作，协助各部门处理老干部逝世后的丧事、遗属相关待遇的落实等方面的问题。</w:t>
            </w:r>
          </w:p>
          <w:p w14:paraId="719115C1">
            <w:pPr>
              <w:spacing w:line="240" w:lineRule="auto"/>
              <w:ind w:firstLine="420"/>
              <w:jc w:val="left"/>
              <w:rPr>
                <w:rFonts w:ascii="仿宋_GB2312" w:eastAsia="仿宋_GB2312"/>
                <w:kern w:val="0"/>
              </w:rPr>
            </w:pPr>
            <w:r>
              <w:rPr>
                <w:rFonts w:hint="eastAsia" w:ascii="仿宋_GB2312" w:eastAsia="仿宋_GB2312"/>
                <w:kern w:val="0"/>
              </w:rPr>
              <w:t>目标3：大力宣传和开展尊老敬老爱老活动，对老干部开展活动、发挥作用进行指导宣传，总结交流经验</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老干部政治待遇和盛会待遇按文件要求全部落实到位，管理服务对象满意，广泛宣传老干部政策，尊老敬老爱老活动开展有声有色，老年人满意度高，社会反响良好。</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tcBorders>
              <w:bottom w:val="single" w:color="auto" w:sz="4" w:space="0"/>
            </w:tcBorders>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tcBorders>
              <w:bottom w:val="single" w:color="auto" w:sz="4" w:space="0"/>
            </w:tcBorders>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74" w:type="dxa"/>
            <w:vMerge w:val="continue"/>
            <w:tcBorders>
              <w:right w:val="single" w:color="auto" w:sz="4" w:space="0"/>
            </w:tcBorders>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tcBorders>
              <w:left w:val="single" w:color="auto" w:sz="4" w:space="0"/>
            </w:tcBorders>
            <w:shd w:val="clear" w:color="auto" w:fill="auto"/>
            <w:vAlign w:val="center"/>
          </w:tcPr>
          <w:p w14:paraId="785EE4B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慰问全市离退休老干部</w:t>
            </w:r>
          </w:p>
        </w:tc>
        <w:tc>
          <w:tcPr>
            <w:tcW w:w="1298" w:type="dxa"/>
            <w:shd w:val="clear" w:color="auto" w:fill="auto"/>
            <w:vAlign w:val="center"/>
          </w:tcPr>
          <w:p w14:paraId="2A37482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269" w:type="dxa"/>
            <w:shd w:val="clear" w:color="auto" w:fill="auto"/>
            <w:vAlign w:val="center"/>
          </w:tcPr>
          <w:p w14:paraId="708D788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699" w:type="dxa"/>
            <w:vMerge w:val="restart"/>
            <w:vAlign w:val="center"/>
          </w:tcPr>
          <w:p w14:paraId="567F5E5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vAlign w:val="center"/>
          </w:tcPr>
          <w:p w14:paraId="2717B7C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0BF6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74" w:type="dxa"/>
            <w:vMerge w:val="continue"/>
            <w:tcBorders>
              <w:right w:val="single" w:color="auto" w:sz="4" w:space="0"/>
            </w:tcBorders>
            <w:textDirection w:val="tbRlV"/>
            <w:vAlign w:val="center"/>
          </w:tcPr>
          <w:p w14:paraId="64C19B27">
            <w:pPr>
              <w:spacing w:line="240" w:lineRule="auto"/>
              <w:ind w:firstLine="420"/>
              <w:jc w:val="center"/>
              <w:rPr>
                <w:rFonts w:ascii="仿宋_GB2312" w:eastAsia="仿宋_GB2312"/>
                <w:kern w:val="0"/>
                <w:lang w:eastAsia="zh-CN"/>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1AF2C423">
            <w:pPr>
              <w:spacing w:line="240" w:lineRule="auto"/>
              <w:jc w:val="center"/>
              <w:rPr>
                <w:rFonts w:hint="eastAsia"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6294FBF0">
            <w:pPr>
              <w:spacing w:line="240" w:lineRule="auto"/>
              <w:jc w:val="center"/>
              <w:rPr>
                <w:rFonts w:hint="eastAsia" w:ascii="仿宋_GB2312" w:hAnsi="宋体" w:eastAsia="仿宋_GB2312" w:cs="宋体"/>
                <w:kern w:val="0"/>
              </w:rPr>
            </w:pPr>
          </w:p>
        </w:tc>
        <w:tc>
          <w:tcPr>
            <w:tcW w:w="1249" w:type="dxa"/>
            <w:tcBorders>
              <w:left w:val="single" w:color="auto" w:sz="4" w:space="0"/>
            </w:tcBorders>
            <w:shd w:val="clear" w:color="auto" w:fill="auto"/>
            <w:vAlign w:val="center"/>
          </w:tcPr>
          <w:p w14:paraId="3284E8D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老干部门球赛</w:t>
            </w:r>
          </w:p>
        </w:tc>
        <w:tc>
          <w:tcPr>
            <w:tcW w:w="1298" w:type="dxa"/>
            <w:shd w:val="clear" w:color="auto" w:fill="auto"/>
            <w:vAlign w:val="center"/>
          </w:tcPr>
          <w:p w14:paraId="7B9A6C3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269" w:type="dxa"/>
            <w:shd w:val="clear" w:color="auto" w:fill="auto"/>
            <w:vAlign w:val="center"/>
          </w:tcPr>
          <w:p w14:paraId="7D9BC53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699" w:type="dxa"/>
            <w:vMerge w:val="continue"/>
            <w:vAlign w:val="center"/>
          </w:tcPr>
          <w:p w14:paraId="0E3E5A45">
            <w:pPr>
              <w:spacing w:line="240" w:lineRule="auto"/>
              <w:ind w:firstLine="420"/>
              <w:jc w:val="center"/>
              <w:rPr>
                <w:rFonts w:ascii="仿宋_GB2312" w:eastAsia="仿宋_GB2312"/>
                <w:kern w:val="0"/>
              </w:rPr>
            </w:pPr>
          </w:p>
        </w:tc>
        <w:tc>
          <w:tcPr>
            <w:tcW w:w="869" w:type="dxa"/>
            <w:vMerge w:val="continue"/>
            <w:vAlign w:val="center"/>
          </w:tcPr>
          <w:p w14:paraId="717D7606">
            <w:pPr>
              <w:spacing w:line="240" w:lineRule="auto"/>
              <w:ind w:firstLine="420"/>
              <w:jc w:val="center"/>
              <w:rPr>
                <w:rFonts w:ascii="仿宋_GB2312" w:eastAsia="仿宋_GB2312"/>
                <w:kern w:val="0"/>
              </w:rPr>
            </w:pPr>
          </w:p>
        </w:tc>
        <w:tc>
          <w:tcPr>
            <w:tcW w:w="1423" w:type="dxa"/>
            <w:vAlign w:val="center"/>
          </w:tcPr>
          <w:p w14:paraId="2DD97672">
            <w:pPr>
              <w:spacing w:line="240" w:lineRule="auto"/>
              <w:ind w:firstLine="420"/>
              <w:jc w:val="center"/>
              <w:rPr>
                <w:rFonts w:ascii="仿宋_GB2312" w:eastAsia="仿宋_GB2312"/>
                <w:kern w:val="0"/>
              </w:rPr>
            </w:pPr>
          </w:p>
        </w:tc>
      </w:tr>
      <w:tr w14:paraId="18677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74" w:type="dxa"/>
            <w:vMerge w:val="continue"/>
            <w:tcBorders>
              <w:right w:val="single" w:color="auto" w:sz="4" w:space="0"/>
            </w:tcBorders>
            <w:textDirection w:val="tbRlV"/>
            <w:vAlign w:val="center"/>
          </w:tcPr>
          <w:p w14:paraId="1FF37054">
            <w:pPr>
              <w:spacing w:line="240" w:lineRule="auto"/>
              <w:ind w:firstLine="420"/>
              <w:jc w:val="center"/>
              <w:rPr>
                <w:rFonts w:ascii="仿宋_GB2312" w:eastAsia="仿宋_GB2312"/>
                <w:kern w:val="0"/>
                <w:lang w:eastAsia="zh-CN"/>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457233FF">
            <w:pPr>
              <w:spacing w:line="240" w:lineRule="auto"/>
              <w:jc w:val="center"/>
              <w:rPr>
                <w:rFonts w:hint="eastAsia"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1B3E55E4">
            <w:pPr>
              <w:spacing w:line="240" w:lineRule="auto"/>
              <w:jc w:val="center"/>
              <w:rPr>
                <w:rFonts w:hint="eastAsia" w:ascii="仿宋_GB2312" w:hAnsi="宋体" w:eastAsia="仿宋_GB2312" w:cs="宋体"/>
                <w:kern w:val="0"/>
              </w:rPr>
            </w:pPr>
          </w:p>
        </w:tc>
        <w:tc>
          <w:tcPr>
            <w:tcW w:w="1249" w:type="dxa"/>
            <w:tcBorders>
              <w:left w:val="single" w:color="auto" w:sz="4" w:space="0"/>
            </w:tcBorders>
            <w:shd w:val="clear" w:color="auto" w:fill="auto"/>
            <w:vAlign w:val="center"/>
          </w:tcPr>
          <w:p w14:paraId="4C398C8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老年大学、各协会讲座</w:t>
            </w:r>
          </w:p>
        </w:tc>
        <w:tc>
          <w:tcPr>
            <w:tcW w:w="1298" w:type="dxa"/>
            <w:shd w:val="clear" w:color="auto" w:fill="auto"/>
            <w:vAlign w:val="center"/>
          </w:tcPr>
          <w:p w14:paraId="3F181E6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1269" w:type="dxa"/>
            <w:shd w:val="clear" w:color="auto" w:fill="auto"/>
            <w:vAlign w:val="center"/>
          </w:tcPr>
          <w:p w14:paraId="289D1CC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699" w:type="dxa"/>
            <w:vMerge w:val="continue"/>
            <w:vAlign w:val="center"/>
          </w:tcPr>
          <w:p w14:paraId="0AB7FB66">
            <w:pPr>
              <w:spacing w:line="240" w:lineRule="auto"/>
              <w:ind w:firstLine="420"/>
              <w:jc w:val="center"/>
              <w:rPr>
                <w:rFonts w:ascii="仿宋_GB2312" w:eastAsia="仿宋_GB2312"/>
                <w:kern w:val="0"/>
              </w:rPr>
            </w:pPr>
          </w:p>
        </w:tc>
        <w:tc>
          <w:tcPr>
            <w:tcW w:w="869" w:type="dxa"/>
            <w:vMerge w:val="continue"/>
            <w:vAlign w:val="center"/>
          </w:tcPr>
          <w:p w14:paraId="5DFE36D9">
            <w:pPr>
              <w:spacing w:line="240" w:lineRule="auto"/>
              <w:ind w:firstLine="420"/>
              <w:jc w:val="center"/>
              <w:rPr>
                <w:rFonts w:ascii="仿宋_GB2312" w:eastAsia="仿宋_GB2312"/>
                <w:kern w:val="0"/>
              </w:rPr>
            </w:pPr>
          </w:p>
        </w:tc>
        <w:tc>
          <w:tcPr>
            <w:tcW w:w="1423" w:type="dxa"/>
            <w:vAlign w:val="center"/>
          </w:tcPr>
          <w:p w14:paraId="7CB2D214">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74" w:type="dxa"/>
            <w:vMerge w:val="continue"/>
            <w:tcBorders>
              <w:right w:val="single" w:color="auto" w:sz="4" w:space="0"/>
            </w:tcBorders>
            <w:textDirection w:val="tbRlV"/>
            <w:vAlign w:val="center"/>
          </w:tcPr>
          <w:p w14:paraId="5E138F79">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62D67C45">
            <w:pPr>
              <w:spacing w:line="240" w:lineRule="auto"/>
              <w:ind w:firstLine="420"/>
              <w:jc w:val="center"/>
              <w:rPr>
                <w:rFonts w:ascii="仿宋_GB2312" w:eastAsia="仿宋_GB2312"/>
                <w:kern w:val="0"/>
              </w:rPr>
            </w:pPr>
          </w:p>
        </w:tc>
        <w:tc>
          <w:tcPr>
            <w:tcW w:w="1249" w:type="dxa"/>
            <w:tcBorders>
              <w:left w:val="single" w:color="auto" w:sz="4" w:space="0"/>
            </w:tcBorders>
            <w:shd w:val="clear" w:color="auto" w:fill="auto"/>
            <w:vAlign w:val="center"/>
          </w:tcPr>
          <w:p w14:paraId="35E485C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老干部工作汇报会</w:t>
            </w:r>
          </w:p>
        </w:tc>
        <w:tc>
          <w:tcPr>
            <w:tcW w:w="1298" w:type="dxa"/>
            <w:shd w:val="clear" w:color="auto" w:fill="auto"/>
            <w:vAlign w:val="center"/>
          </w:tcPr>
          <w:p w14:paraId="15CE1D7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1269" w:type="dxa"/>
            <w:shd w:val="clear" w:color="auto" w:fill="auto"/>
            <w:vAlign w:val="center"/>
          </w:tcPr>
          <w:p w14:paraId="346D111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699" w:type="dxa"/>
            <w:vMerge w:val="continue"/>
            <w:vAlign w:val="center"/>
          </w:tcPr>
          <w:p w14:paraId="4812C5E9">
            <w:pPr>
              <w:spacing w:line="240" w:lineRule="auto"/>
              <w:ind w:firstLine="420"/>
              <w:jc w:val="center"/>
              <w:rPr>
                <w:rFonts w:ascii="仿宋_GB2312" w:eastAsia="仿宋_GB2312"/>
                <w:kern w:val="0"/>
              </w:rPr>
            </w:pPr>
          </w:p>
        </w:tc>
        <w:tc>
          <w:tcPr>
            <w:tcW w:w="869" w:type="dxa"/>
            <w:vMerge w:val="continue"/>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074" w:type="dxa"/>
            <w:vMerge w:val="continue"/>
            <w:tcBorders>
              <w:right w:val="single" w:color="auto" w:sz="4" w:space="0"/>
            </w:tcBorders>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15DCA989">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tcBorders>
              <w:left w:val="single" w:color="auto" w:sz="4" w:space="0"/>
            </w:tcBorders>
            <w:shd w:val="clear" w:color="auto" w:fill="auto"/>
            <w:vAlign w:val="center"/>
          </w:tcPr>
          <w:p w14:paraId="10423A4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依法依规，及时准确，确保各项工作顺利开展</w:t>
            </w:r>
          </w:p>
        </w:tc>
        <w:tc>
          <w:tcPr>
            <w:tcW w:w="1298" w:type="dxa"/>
            <w:shd w:val="clear" w:color="auto" w:fill="auto"/>
            <w:vAlign w:val="center"/>
          </w:tcPr>
          <w:p w14:paraId="1A5ADA3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1269" w:type="dxa"/>
            <w:shd w:val="clear" w:color="auto" w:fill="auto"/>
            <w:vAlign w:val="center"/>
          </w:tcPr>
          <w:p w14:paraId="54075F0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699" w:type="dxa"/>
            <w:shd w:val="clear" w:color="auto" w:fill="auto"/>
            <w:vAlign w:val="center"/>
          </w:tcPr>
          <w:p w14:paraId="5580FC82">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shd w:val="clear" w:color="auto" w:fill="auto"/>
            <w:vAlign w:val="center"/>
          </w:tcPr>
          <w:p w14:paraId="0982B111">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01F2382D">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tcBorders>
              <w:left w:val="single" w:color="auto" w:sz="4" w:space="0"/>
            </w:tcBorders>
            <w:shd w:val="clear" w:color="auto" w:fill="auto"/>
            <w:vAlign w:val="center"/>
          </w:tcPr>
          <w:p w14:paraId="5323318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2023年全部完成</w:t>
            </w:r>
          </w:p>
        </w:tc>
        <w:tc>
          <w:tcPr>
            <w:tcW w:w="1298" w:type="dxa"/>
            <w:shd w:val="clear" w:color="auto" w:fill="auto"/>
            <w:vAlign w:val="center"/>
          </w:tcPr>
          <w:p w14:paraId="479FA5D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2023.01-2023.12</w:t>
            </w:r>
          </w:p>
        </w:tc>
        <w:tc>
          <w:tcPr>
            <w:tcW w:w="1269" w:type="dxa"/>
            <w:shd w:val="clear" w:color="auto" w:fill="auto"/>
            <w:vAlign w:val="center"/>
          </w:tcPr>
          <w:p w14:paraId="5C1B340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2023年年底全部完成</w:t>
            </w:r>
          </w:p>
        </w:tc>
        <w:tc>
          <w:tcPr>
            <w:tcW w:w="699" w:type="dxa"/>
            <w:shd w:val="clear" w:color="auto" w:fill="auto"/>
            <w:vAlign w:val="center"/>
          </w:tcPr>
          <w:p w14:paraId="4C56B99F">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shd w:val="clear" w:color="auto" w:fill="auto"/>
            <w:vAlign w:val="center"/>
          </w:tcPr>
          <w:p w14:paraId="5DA34835">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top w:val="single" w:color="auto" w:sz="4" w:space="0"/>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shd w:val="clear" w:color="auto" w:fill="auto"/>
            <w:vAlign w:val="center"/>
          </w:tcPr>
          <w:p w14:paraId="3261195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上缴老年大学学费</w:t>
            </w:r>
          </w:p>
        </w:tc>
        <w:tc>
          <w:tcPr>
            <w:tcW w:w="1298" w:type="dxa"/>
            <w:shd w:val="clear" w:color="auto" w:fill="auto"/>
            <w:vAlign w:val="center"/>
          </w:tcPr>
          <w:p w14:paraId="078289F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≥4万元</w:t>
            </w:r>
          </w:p>
        </w:tc>
        <w:tc>
          <w:tcPr>
            <w:tcW w:w="1269" w:type="dxa"/>
            <w:shd w:val="clear" w:color="auto" w:fill="auto"/>
            <w:vAlign w:val="center"/>
          </w:tcPr>
          <w:p w14:paraId="7A453B8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13.8万</w:t>
            </w:r>
          </w:p>
        </w:tc>
        <w:tc>
          <w:tcPr>
            <w:tcW w:w="699" w:type="dxa"/>
            <w:shd w:val="clear" w:color="auto" w:fill="auto"/>
            <w:vAlign w:val="center"/>
          </w:tcPr>
          <w:p w14:paraId="415A3F60">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shd w:val="clear" w:color="auto" w:fill="auto"/>
            <w:vAlign w:val="center"/>
          </w:tcPr>
          <w:p w14:paraId="2AC58B95">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shd w:val="clear" w:color="auto" w:fill="auto"/>
            <w:vAlign w:val="center"/>
          </w:tcPr>
          <w:p w14:paraId="5D9BC27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让广大老年人感受到老有所乐、老有所学、老有所安</w:t>
            </w:r>
          </w:p>
        </w:tc>
        <w:tc>
          <w:tcPr>
            <w:tcW w:w="1298" w:type="dxa"/>
            <w:shd w:val="clear" w:color="auto" w:fill="auto"/>
            <w:vAlign w:val="center"/>
          </w:tcPr>
          <w:p w14:paraId="6E8C487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269" w:type="dxa"/>
            <w:shd w:val="clear" w:color="auto" w:fill="auto"/>
            <w:vAlign w:val="center"/>
          </w:tcPr>
          <w:p w14:paraId="4886005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699" w:type="dxa"/>
            <w:shd w:val="clear" w:color="auto" w:fill="auto"/>
            <w:vAlign w:val="center"/>
          </w:tcPr>
          <w:p w14:paraId="75FAE41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shd w:val="clear" w:color="auto" w:fill="auto"/>
            <w:vAlign w:val="center"/>
          </w:tcPr>
          <w:p w14:paraId="3309901E">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shd w:val="clear" w:color="auto" w:fill="auto"/>
            <w:vAlign w:val="center"/>
          </w:tcPr>
          <w:p w14:paraId="4DC6068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298" w:type="dxa"/>
            <w:shd w:val="clear" w:color="auto" w:fill="auto"/>
            <w:vAlign w:val="center"/>
          </w:tcPr>
          <w:p w14:paraId="45B96CBB">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269" w:type="dxa"/>
            <w:shd w:val="clear" w:color="auto" w:fill="auto"/>
            <w:vAlign w:val="center"/>
          </w:tcPr>
          <w:p w14:paraId="35C3564D">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699" w:type="dxa"/>
            <w:shd w:val="clear" w:color="auto" w:fill="auto"/>
            <w:vAlign w:val="center"/>
          </w:tcPr>
          <w:p w14:paraId="6A822248">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69" w:type="dxa"/>
            <w:shd w:val="clear" w:color="auto" w:fill="auto"/>
            <w:vAlign w:val="center"/>
          </w:tcPr>
          <w:p w14:paraId="73C931F8">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1B548B4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社会反响良好</w:t>
            </w:r>
          </w:p>
        </w:tc>
        <w:tc>
          <w:tcPr>
            <w:tcW w:w="1298" w:type="dxa"/>
            <w:shd w:val="clear" w:color="auto" w:fill="auto"/>
            <w:vAlign w:val="center"/>
          </w:tcPr>
          <w:p w14:paraId="055B34E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长期</w:t>
            </w:r>
          </w:p>
        </w:tc>
        <w:tc>
          <w:tcPr>
            <w:tcW w:w="1269" w:type="dxa"/>
            <w:shd w:val="clear" w:color="auto" w:fill="auto"/>
            <w:vAlign w:val="center"/>
          </w:tcPr>
          <w:p w14:paraId="46B4146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可持续影响良好</w:t>
            </w:r>
          </w:p>
        </w:tc>
        <w:tc>
          <w:tcPr>
            <w:tcW w:w="699" w:type="dxa"/>
            <w:shd w:val="clear" w:color="auto" w:fill="auto"/>
            <w:vAlign w:val="center"/>
          </w:tcPr>
          <w:p w14:paraId="447C4D99">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69" w:type="dxa"/>
            <w:shd w:val="clear" w:color="auto" w:fill="auto"/>
            <w:vAlign w:val="center"/>
          </w:tcPr>
          <w:p w14:paraId="71C7C72F">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right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left w:val="single" w:color="auto" w:sz="4" w:space="0"/>
            </w:tcBorders>
            <w:shd w:val="clear" w:color="auto" w:fill="auto"/>
            <w:vAlign w:val="center"/>
          </w:tcPr>
          <w:p w14:paraId="4F2AFDD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离休干部和退休县处级干部满意度</w:t>
            </w:r>
          </w:p>
        </w:tc>
        <w:tc>
          <w:tcPr>
            <w:tcW w:w="1298" w:type="dxa"/>
            <w:shd w:val="clear" w:color="auto" w:fill="auto"/>
            <w:vAlign w:val="center"/>
          </w:tcPr>
          <w:p w14:paraId="6ABEB3E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269" w:type="dxa"/>
            <w:shd w:val="clear" w:color="auto" w:fill="auto"/>
            <w:vAlign w:val="center"/>
          </w:tcPr>
          <w:p w14:paraId="31B5B32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699" w:type="dxa"/>
            <w:vMerge w:val="restart"/>
            <w:vAlign w:val="center"/>
          </w:tcPr>
          <w:p w14:paraId="41D3F3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vAlign w:val="center"/>
          </w:tcPr>
          <w:p w14:paraId="19FFC8C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right w:val="single" w:color="auto" w:sz="4" w:space="0"/>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14:paraId="28984CF5">
            <w:pPr>
              <w:spacing w:line="240" w:lineRule="auto"/>
              <w:ind w:firstLine="420"/>
              <w:jc w:val="center"/>
              <w:rPr>
                <w:rFonts w:ascii="仿宋_GB2312" w:eastAsia="仿宋_GB2312"/>
                <w:kern w:val="0"/>
              </w:rPr>
            </w:pPr>
          </w:p>
        </w:tc>
        <w:tc>
          <w:tcPr>
            <w:tcW w:w="1249" w:type="dxa"/>
            <w:tcBorders>
              <w:left w:val="single" w:color="auto" w:sz="4" w:space="0"/>
            </w:tcBorders>
            <w:shd w:val="clear" w:color="auto" w:fill="auto"/>
            <w:vAlign w:val="center"/>
          </w:tcPr>
          <w:p w14:paraId="767D8AA9">
            <w:pPr>
              <w:spacing w:line="24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社会公众满意度</w:t>
            </w:r>
          </w:p>
        </w:tc>
        <w:tc>
          <w:tcPr>
            <w:tcW w:w="1298" w:type="dxa"/>
            <w:shd w:val="clear" w:color="auto" w:fill="auto"/>
            <w:vAlign w:val="center"/>
          </w:tcPr>
          <w:p w14:paraId="5D1571F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269" w:type="dxa"/>
            <w:shd w:val="clear" w:color="auto" w:fill="auto"/>
            <w:vAlign w:val="center"/>
          </w:tcPr>
          <w:p w14:paraId="14AA98D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699" w:type="dxa"/>
            <w:vMerge w:val="continue"/>
            <w:vAlign w:val="center"/>
          </w:tcPr>
          <w:p w14:paraId="45F31835">
            <w:pPr>
              <w:spacing w:line="240" w:lineRule="auto"/>
              <w:ind w:firstLine="420"/>
              <w:jc w:val="center"/>
              <w:rPr>
                <w:rFonts w:ascii="仿宋_GB2312" w:eastAsia="仿宋_GB2312"/>
                <w:kern w:val="0"/>
              </w:rPr>
            </w:pPr>
          </w:p>
        </w:tc>
        <w:tc>
          <w:tcPr>
            <w:tcW w:w="869" w:type="dxa"/>
            <w:vMerge w:val="continue"/>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right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left w:val="single" w:color="auto" w:sz="4" w:space="0"/>
              <w:bottom w:val="single" w:color="auto" w:sz="4" w:space="0"/>
              <w:right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left w:val="single" w:color="auto" w:sz="4" w:space="0"/>
            </w:tcBorders>
            <w:vAlign w:val="center"/>
          </w:tcPr>
          <w:p w14:paraId="63B7EC90">
            <w:pPr>
              <w:spacing w:line="240" w:lineRule="auto"/>
              <w:jc w:val="center"/>
              <w:rPr>
                <w:rFonts w:ascii="仿宋_GB2312" w:eastAsia="仿宋_GB2312"/>
                <w:kern w:val="0"/>
              </w:rPr>
            </w:pPr>
            <w:r>
              <w:rPr>
                <w:rFonts w:hint="eastAsia" w:ascii="仿宋_GB2312" w:hAnsi="仿宋_GB2312" w:eastAsia="仿宋_GB2312" w:cs="仿宋_GB2312"/>
                <w:kern w:val="0"/>
                <w:sz w:val="21"/>
                <w:szCs w:val="21"/>
              </w:rPr>
              <w:t>厉行节约</w:t>
            </w:r>
          </w:p>
        </w:tc>
        <w:tc>
          <w:tcPr>
            <w:tcW w:w="1298" w:type="dxa"/>
            <w:vAlign w:val="center"/>
          </w:tcPr>
          <w:p w14:paraId="15ECA8D3">
            <w:pPr>
              <w:spacing w:line="240" w:lineRule="auto"/>
              <w:jc w:val="center"/>
              <w:rPr>
                <w:rFonts w:ascii="仿宋_GB2312" w:eastAsia="仿宋_GB2312"/>
                <w:kern w:val="0"/>
              </w:rPr>
            </w:pPr>
            <w:r>
              <w:rPr>
                <w:rFonts w:hint="eastAsia" w:ascii="仿宋_GB2312" w:hAnsi="仿宋_GB2312" w:eastAsia="仿宋_GB2312" w:cs="仿宋_GB2312"/>
                <w:kern w:val="0"/>
                <w:sz w:val="21"/>
                <w:szCs w:val="21"/>
              </w:rPr>
              <w:t>100%</w:t>
            </w:r>
          </w:p>
        </w:tc>
        <w:tc>
          <w:tcPr>
            <w:tcW w:w="1269" w:type="dxa"/>
            <w:vAlign w:val="center"/>
          </w:tcPr>
          <w:p w14:paraId="3C328246">
            <w:pPr>
              <w:spacing w:line="240" w:lineRule="auto"/>
              <w:jc w:val="center"/>
              <w:rPr>
                <w:rFonts w:ascii="仿宋_GB2312" w:eastAsia="仿宋_GB2312"/>
                <w:kern w:val="0"/>
              </w:rPr>
            </w:pPr>
            <w:r>
              <w:rPr>
                <w:rFonts w:hint="eastAsia" w:ascii="仿宋_GB2312" w:hAnsi="仿宋_GB2312" w:eastAsia="仿宋_GB2312" w:cs="仿宋_GB2312"/>
                <w:kern w:val="0"/>
                <w:sz w:val="21"/>
                <w:szCs w:val="21"/>
              </w:rPr>
              <w:t>100%</w:t>
            </w:r>
          </w:p>
        </w:tc>
        <w:tc>
          <w:tcPr>
            <w:tcW w:w="699" w:type="dxa"/>
            <w:shd w:val="clear" w:color="auto" w:fill="auto"/>
            <w:vAlign w:val="center"/>
          </w:tcPr>
          <w:p w14:paraId="42BD2B9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shd w:val="clear" w:color="auto" w:fill="auto"/>
            <w:vAlign w:val="center"/>
          </w:tcPr>
          <w:p w14:paraId="786F4305">
            <w:pPr>
              <w:spacing w:line="240" w:lineRule="auto"/>
              <w:jc w:val="center"/>
              <w:rPr>
                <w:rFonts w:hint="default"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9</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single" w:color="auto" w:sz="4" w:space="0"/>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center"/>
              <w:rPr>
                <w:rFonts w:ascii="仿宋_GB2312" w:eastAsia="仿宋_GB2312"/>
                <w:kern w:val="0"/>
              </w:rPr>
            </w:pPr>
            <w:r>
              <w:rPr>
                <w:rFonts w:hint="eastAsia" w:ascii="仿宋_GB2312" w:hAnsi="仿宋_GB2312" w:eastAsia="仿宋_GB2312" w:cs="仿宋_GB2312"/>
                <w:kern w:val="0"/>
                <w:sz w:val="21"/>
                <w:szCs w:val="21"/>
                <w:lang w:val="en-US" w:eastAsia="zh-CN"/>
              </w:rPr>
              <w:t>不适用</w:t>
            </w:r>
          </w:p>
        </w:tc>
        <w:tc>
          <w:tcPr>
            <w:tcW w:w="1298" w:type="dxa"/>
            <w:vAlign w:val="center"/>
          </w:tcPr>
          <w:p w14:paraId="09361E43">
            <w:pPr>
              <w:spacing w:line="240" w:lineRule="auto"/>
              <w:ind w:firstLine="420" w:firstLineChars="0"/>
              <w:jc w:val="center"/>
              <w:rPr>
                <w:rFonts w:ascii="仿宋_GB2312" w:eastAsia="仿宋_GB2312"/>
                <w:kern w:val="0"/>
              </w:rPr>
            </w:pPr>
          </w:p>
        </w:tc>
        <w:tc>
          <w:tcPr>
            <w:tcW w:w="1269" w:type="dxa"/>
            <w:vAlign w:val="center"/>
          </w:tcPr>
          <w:p w14:paraId="32DCD303">
            <w:pPr>
              <w:spacing w:line="240" w:lineRule="auto"/>
              <w:ind w:firstLine="420" w:firstLineChars="0"/>
              <w:jc w:val="center"/>
              <w:rPr>
                <w:rFonts w:ascii="仿宋_GB2312" w:eastAsia="仿宋_GB2312"/>
                <w:kern w:val="0"/>
              </w:rPr>
            </w:pPr>
          </w:p>
        </w:tc>
        <w:tc>
          <w:tcPr>
            <w:tcW w:w="699" w:type="dxa"/>
            <w:shd w:val="clear" w:color="auto" w:fill="auto"/>
            <w:vAlign w:val="center"/>
          </w:tcPr>
          <w:p w14:paraId="765229A3">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69" w:type="dxa"/>
            <w:shd w:val="clear" w:color="auto" w:fill="auto"/>
            <w:vAlign w:val="center"/>
          </w:tcPr>
          <w:p w14:paraId="4012A71B">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4</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center"/>
              <w:rPr>
                <w:rFonts w:ascii="仿宋_GB2312" w:eastAsia="仿宋_GB2312"/>
                <w:kern w:val="0"/>
              </w:rPr>
            </w:pPr>
            <w:r>
              <w:rPr>
                <w:rFonts w:hint="eastAsia" w:ascii="仿宋_GB2312" w:hAnsi="仿宋_GB2312" w:eastAsia="仿宋_GB2312" w:cs="仿宋_GB2312"/>
                <w:kern w:val="0"/>
                <w:sz w:val="21"/>
                <w:szCs w:val="21"/>
                <w:lang w:val="en-US" w:eastAsia="zh-CN"/>
              </w:rPr>
              <w:t>不适用</w:t>
            </w:r>
          </w:p>
        </w:tc>
        <w:tc>
          <w:tcPr>
            <w:tcW w:w="1298" w:type="dxa"/>
            <w:vAlign w:val="center"/>
          </w:tcPr>
          <w:p w14:paraId="789CDCB9">
            <w:pPr>
              <w:spacing w:line="240" w:lineRule="auto"/>
              <w:ind w:firstLine="420" w:firstLineChars="0"/>
              <w:jc w:val="center"/>
              <w:rPr>
                <w:rFonts w:ascii="仿宋_GB2312" w:eastAsia="仿宋_GB2312"/>
                <w:kern w:val="0"/>
              </w:rPr>
            </w:pPr>
          </w:p>
        </w:tc>
        <w:tc>
          <w:tcPr>
            <w:tcW w:w="1269" w:type="dxa"/>
            <w:vAlign w:val="center"/>
          </w:tcPr>
          <w:p w14:paraId="4E354EE6">
            <w:pPr>
              <w:spacing w:line="240" w:lineRule="auto"/>
              <w:ind w:firstLine="420" w:firstLineChars="0"/>
              <w:jc w:val="center"/>
              <w:rPr>
                <w:rFonts w:ascii="仿宋_GB2312" w:eastAsia="仿宋_GB2312"/>
                <w:kern w:val="0"/>
              </w:rPr>
            </w:pPr>
          </w:p>
        </w:tc>
        <w:tc>
          <w:tcPr>
            <w:tcW w:w="699" w:type="dxa"/>
            <w:shd w:val="clear" w:color="auto" w:fill="auto"/>
            <w:vAlign w:val="center"/>
          </w:tcPr>
          <w:p w14:paraId="6C36DE67">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69" w:type="dxa"/>
            <w:shd w:val="clear" w:color="auto" w:fill="auto"/>
            <w:vAlign w:val="center"/>
          </w:tcPr>
          <w:p w14:paraId="6B31F2AB">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4</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69" w:type="dxa"/>
            <w:vAlign w:val="center"/>
          </w:tcPr>
          <w:p w14:paraId="6F45C2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103A4C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7D16AC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819AF5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BDB630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2D6A13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老干事务中心专项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中共汨罗市委组织部</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汨罗市老干部事务中心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193.31</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193.31</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75F04A7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57</w:t>
            </w:r>
          </w:p>
        </w:tc>
        <w:tc>
          <w:tcPr>
            <w:tcW w:w="1099" w:type="dxa"/>
            <w:shd w:val="clear" w:color="auto" w:fill="auto"/>
            <w:vAlign w:val="center"/>
          </w:tcPr>
          <w:p w14:paraId="5536407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193.31</w:t>
            </w:r>
          </w:p>
        </w:tc>
        <w:tc>
          <w:tcPr>
            <w:tcW w:w="1099" w:type="dxa"/>
            <w:shd w:val="clear" w:color="auto" w:fill="auto"/>
            <w:vAlign w:val="center"/>
          </w:tcPr>
          <w:p w14:paraId="0401DF6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193.31</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shd w:val="clear" w:color="auto" w:fill="auto"/>
            <w:vAlign w:val="center"/>
          </w:tcPr>
          <w:p w14:paraId="2C4C4FF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各项目如质如量完成，使服务对象满意、广大老年人满意</w:t>
            </w:r>
          </w:p>
        </w:tc>
        <w:tc>
          <w:tcPr>
            <w:tcW w:w="4140" w:type="dxa"/>
            <w:gridSpan w:val="4"/>
            <w:shd w:val="clear" w:color="auto" w:fill="auto"/>
            <w:vAlign w:val="center"/>
          </w:tcPr>
          <w:p w14:paraId="309F7763">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各项目如质如量完成，</w:t>
            </w:r>
            <w:r>
              <w:rPr>
                <w:rFonts w:hint="eastAsia" w:ascii="仿宋_GB2312" w:hAnsi="宋体" w:eastAsia="仿宋_GB2312" w:cs="宋体"/>
                <w:kern w:val="0"/>
                <w:lang w:val="en-US" w:eastAsia="zh-CN"/>
              </w:rPr>
              <w:t>离休和退休县处级干部满意，社会反响良好</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bottom w:val="single" w:color="auto" w:sz="4" w:space="0"/>
            </w:tcBorders>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1054" w:type="dxa"/>
            <w:vMerge w:val="continue"/>
            <w:tcBorders>
              <w:right w:val="single" w:color="auto" w:sz="4" w:space="0"/>
            </w:tcBorders>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left w:val="single" w:color="auto" w:sz="4" w:space="0"/>
            </w:tcBorders>
            <w:shd w:val="clear" w:color="auto" w:fill="auto"/>
            <w:vAlign w:val="center"/>
          </w:tcPr>
          <w:p w14:paraId="7C29565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慰问全市离退休老干部</w:t>
            </w:r>
          </w:p>
        </w:tc>
        <w:tc>
          <w:tcPr>
            <w:tcW w:w="1099" w:type="dxa"/>
            <w:shd w:val="clear" w:color="auto" w:fill="auto"/>
            <w:vAlign w:val="center"/>
          </w:tcPr>
          <w:p w14:paraId="54B9394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099" w:type="dxa"/>
            <w:shd w:val="clear" w:color="auto" w:fill="auto"/>
            <w:vAlign w:val="center"/>
          </w:tcPr>
          <w:p w14:paraId="7F49710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809" w:type="dxa"/>
            <w:vMerge w:val="restart"/>
            <w:vAlign w:val="center"/>
          </w:tcPr>
          <w:p w14:paraId="450DEC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14:paraId="5F7B7A4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0CE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054" w:type="dxa"/>
            <w:vMerge w:val="continue"/>
            <w:tcBorders>
              <w:right w:val="single" w:color="auto" w:sz="4" w:space="0"/>
            </w:tcBorders>
            <w:textDirection w:val="tbRlV"/>
            <w:vAlign w:val="center"/>
          </w:tcPr>
          <w:p w14:paraId="74268DED">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E8CCCEB">
            <w:pPr>
              <w:spacing w:line="240" w:lineRule="auto"/>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26D108AD">
            <w:pPr>
              <w:spacing w:line="240" w:lineRule="auto"/>
              <w:jc w:val="center"/>
              <w:rPr>
                <w:rFonts w:hint="eastAsia" w:ascii="仿宋_GB2312" w:hAnsi="宋体" w:eastAsia="仿宋_GB2312" w:cs="宋体"/>
                <w:kern w:val="0"/>
              </w:rPr>
            </w:pPr>
          </w:p>
        </w:tc>
        <w:tc>
          <w:tcPr>
            <w:tcW w:w="1020" w:type="dxa"/>
            <w:tcBorders>
              <w:left w:val="single" w:color="auto" w:sz="4" w:space="0"/>
            </w:tcBorders>
            <w:shd w:val="clear" w:color="auto" w:fill="auto"/>
            <w:vAlign w:val="center"/>
          </w:tcPr>
          <w:p w14:paraId="0D7690C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老干部门球赛</w:t>
            </w:r>
          </w:p>
        </w:tc>
        <w:tc>
          <w:tcPr>
            <w:tcW w:w="1099" w:type="dxa"/>
            <w:shd w:val="clear" w:color="auto" w:fill="auto"/>
            <w:vAlign w:val="center"/>
          </w:tcPr>
          <w:p w14:paraId="45815F1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099" w:type="dxa"/>
            <w:shd w:val="clear" w:color="auto" w:fill="auto"/>
            <w:vAlign w:val="center"/>
          </w:tcPr>
          <w:p w14:paraId="540AB82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809" w:type="dxa"/>
            <w:vMerge w:val="continue"/>
            <w:vAlign w:val="center"/>
          </w:tcPr>
          <w:p w14:paraId="0BA7C93F">
            <w:pPr>
              <w:spacing w:line="240" w:lineRule="auto"/>
              <w:ind w:firstLine="420"/>
              <w:jc w:val="center"/>
              <w:rPr>
                <w:rFonts w:ascii="仿宋_GB2312" w:hAnsi="宋体" w:eastAsia="仿宋_GB2312" w:cs="宋体"/>
                <w:kern w:val="0"/>
              </w:rPr>
            </w:pPr>
          </w:p>
        </w:tc>
        <w:tc>
          <w:tcPr>
            <w:tcW w:w="849" w:type="dxa"/>
            <w:vMerge w:val="continue"/>
            <w:vAlign w:val="center"/>
          </w:tcPr>
          <w:p w14:paraId="39103FDE">
            <w:pPr>
              <w:spacing w:line="240" w:lineRule="auto"/>
              <w:ind w:firstLine="420"/>
              <w:jc w:val="center"/>
              <w:rPr>
                <w:rFonts w:ascii="仿宋_GB2312" w:hAnsi="宋体" w:eastAsia="仿宋_GB2312" w:cs="宋体"/>
                <w:kern w:val="0"/>
              </w:rPr>
            </w:pPr>
          </w:p>
        </w:tc>
        <w:tc>
          <w:tcPr>
            <w:tcW w:w="1383" w:type="dxa"/>
            <w:vAlign w:val="center"/>
          </w:tcPr>
          <w:p w14:paraId="24685712">
            <w:pPr>
              <w:spacing w:line="240" w:lineRule="auto"/>
              <w:ind w:firstLine="420"/>
              <w:jc w:val="center"/>
              <w:rPr>
                <w:rFonts w:ascii="仿宋_GB2312" w:hAnsi="宋体" w:eastAsia="仿宋_GB2312" w:cs="宋体"/>
                <w:kern w:val="0"/>
              </w:rPr>
            </w:pPr>
          </w:p>
        </w:tc>
      </w:tr>
      <w:tr w14:paraId="0BCA8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1054" w:type="dxa"/>
            <w:vMerge w:val="continue"/>
            <w:tcBorders>
              <w:right w:val="single" w:color="auto" w:sz="4" w:space="0"/>
            </w:tcBorders>
            <w:textDirection w:val="tbRlV"/>
            <w:vAlign w:val="center"/>
          </w:tcPr>
          <w:p w14:paraId="7579CC7D">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40E4C82">
            <w:pPr>
              <w:spacing w:line="240" w:lineRule="auto"/>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24875C74">
            <w:pPr>
              <w:spacing w:line="240" w:lineRule="auto"/>
              <w:jc w:val="center"/>
              <w:rPr>
                <w:rFonts w:hint="eastAsia" w:ascii="仿宋_GB2312" w:hAnsi="宋体" w:eastAsia="仿宋_GB2312" w:cs="宋体"/>
                <w:kern w:val="0"/>
              </w:rPr>
            </w:pPr>
          </w:p>
        </w:tc>
        <w:tc>
          <w:tcPr>
            <w:tcW w:w="1020" w:type="dxa"/>
            <w:tcBorders>
              <w:left w:val="single" w:color="auto" w:sz="4" w:space="0"/>
            </w:tcBorders>
            <w:shd w:val="clear" w:color="auto" w:fill="auto"/>
            <w:vAlign w:val="center"/>
          </w:tcPr>
          <w:p w14:paraId="0F88BAE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老年大学、各协会讲座</w:t>
            </w:r>
          </w:p>
        </w:tc>
        <w:tc>
          <w:tcPr>
            <w:tcW w:w="1099" w:type="dxa"/>
            <w:shd w:val="clear" w:color="auto" w:fill="auto"/>
            <w:vAlign w:val="center"/>
          </w:tcPr>
          <w:p w14:paraId="1D554BC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1099" w:type="dxa"/>
            <w:shd w:val="clear" w:color="auto" w:fill="auto"/>
            <w:vAlign w:val="center"/>
          </w:tcPr>
          <w:p w14:paraId="5737367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809" w:type="dxa"/>
            <w:vMerge w:val="continue"/>
            <w:vAlign w:val="center"/>
          </w:tcPr>
          <w:p w14:paraId="345A35CF">
            <w:pPr>
              <w:spacing w:line="240" w:lineRule="auto"/>
              <w:ind w:firstLine="420"/>
              <w:jc w:val="center"/>
              <w:rPr>
                <w:rFonts w:ascii="仿宋_GB2312" w:hAnsi="宋体" w:eastAsia="仿宋_GB2312" w:cs="宋体"/>
                <w:kern w:val="0"/>
              </w:rPr>
            </w:pPr>
          </w:p>
        </w:tc>
        <w:tc>
          <w:tcPr>
            <w:tcW w:w="849" w:type="dxa"/>
            <w:vMerge w:val="continue"/>
            <w:vAlign w:val="center"/>
          </w:tcPr>
          <w:p w14:paraId="419EC1A4">
            <w:pPr>
              <w:spacing w:line="240" w:lineRule="auto"/>
              <w:ind w:firstLine="420"/>
              <w:jc w:val="center"/>
              <w:rPr>
                <w:rFonts w:ascii="仿宋_GB2312" w:hAnsi="宋体" w:eastAsia="仿宋_GB2312" w:cs="宋体"/>
                <w:kern w:val="0"/>
              </w:rPr>
            </w:pPr>
          </w:p>
        </w:tc>
        <w:tc>
          <w:tcPr>
            <w:tcW w:w="1383" w:type="dxa"/>
            <w:vAlign w:val="center"/>
          </w:tcPr>
          <w:p w14:paraId="6E8841EA">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54" w:type="dxa"/>
            <w:vMerge w:val="continue"/>
            <w:tcBorders>
              <w:right w:val="single" w:color="auto" w:sz="4" w:space="0"/>
            </w:tcBorders>
            <w:textDirection w:val="tbRlV"/>
            <w:vAlign w:val="center"/>
          </w:tcPr>
          <w:p w14:paraId="7B39A441">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566FD07B">
            <w:pPr>
              <w:spacing w:line="240" w:lineRule="auto"/>
              <w:ind w:firstLine="420"/>
              <w:jc w:val="center"/>
              <w:rPr>
                <w:rFonts w:ascii="仿宋_GB2312" w:hAnsi="宋体" w:eastAsia="仿宋_GB2312" w:cs="宋体"/>
                <w:kern w:val="0"/>
              </w:rPr>
            </w:pPr>
          </w:p>
        </w:tc>
        <w:tc>
          <w:tcPr>
            <w:tcW w:w="1020" w:type="dxa"/>
            <w:tcBorders>
              <w:left w:val="single" w:color="auto" w:sz="4" w:space="0"/>
            </w:tcBorders>
            <w:shd w:val="clear" w:color="auto" w:fill="auto"/>
            <w:vAlign w:val="center"/>
          </w:tcPr>
          <w:p w14:paraId="221334D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老干部工作汇报会</w:t>
            </w:r>
          </w:p>
        </w:tc>
        <w:tc>
          <w:tcPr>
            <w:tcW w:w="1099" w:type="dxa"/>
            <w:shd w:val="clear" w:color="auto" w:fill="auto"/>
            <w:vAlign w:val="center"/>
          </w:tcPr>
          <w:p w14:paraId="29CCEED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1099" w:type="dxa"/>
            <w:shd w:val="clear" w:color="auto" w:fill="auto"/>
            <w:vAlign w:val="center"/>
          </w:tcPr>
          <w:p w14:paraId="70F41D2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809" w:type="dxa"/>
            <w:vMerge w:val="continue"/>
            <w:vAlign w:val="center"/>
          </w:tcPr>
          <w:p w14:paraId="662F7041">
            <w:pPr>
              <w:spacing w:line="240" w:lineRule="auto"/>
              <w:ind w:firstLine="420"/>
              <w:jc w:val="center"/>
              <w:rPr>
                <w:rFonts w:ascii="仿宋_GB2312" w:hAnsi="宋体" w:eastAsia="仿宋_GB2312" w:cs="宋体"/>
                <w:kern w:val="0"/>
              </w:rPr>
            </w:pPr>
          </w:p>
        </w:tc>
        <w:tc>
          <w:tcPr>
            <w:tcW w:w="849" w:type="dxa"/>
            <w:vMerge w:val="continue"/>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jc w:val="center"/>
        </w:trPr>
        <w:tc>
          <w:tcPr>
            <w:tcW w:w="1054" w:type="dxa"/>
            <w:vMerge w:val="continue"/>
            <w:tcBorders>
              <w:right w:val="single" w:color="auto" w:sz="4" w:space="0"/>
            </w:tcBorders>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left w:val="single" w:color="auto" w:sz="4" w:space="0"/>
            </w:tcBorders>
            <w:shd w:val="clear" w:color="auto" w:fill="auto"/>
            <w:vAlign w:val="center"/>
          </w:tcPr>
          <w:p w14:paraId="61412C8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依法依规，及时准确，确保各项工作顺利开展</w:t>
            </w:r>
          </w:p>
        </w:tc>
        <w:tc>
          <w:tcPr>
            <w:tcW w:w="1099" w:type="dxa"/>
            <w:shd w:val="clear" w:color="auto" w:fill="auto"/>
            <w:vAlign w:val="center"/>
          </w:tcPr>
          <w:p w14:paraId="2D69FB3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1099" w:type="dxa"/>
            <w:shd w:val="clear" w:color="auto" w:fill="auto"/>
            <w:vAlign w:val="center"/>
          </w:tcPr>
          <w:p w14:paraId="03BC31E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809" w:type="dxa"/>
            <w:shd w:val="clear" w:color="auto" w:fill="auto"/>
            <w:vAlign w:val="center"/>
          </w:tcPr>
          <w:p w14:paraId="5DC86158">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shd w:val="clear" w:color="auto" w:fill="auto"/>
            <w:vAlign w:val="center"/>
          </w:tcPr>
          <w:p w14:paraId="25177C6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54" w:type="dxa"/>
            <w:vMerge w:val="continue"/>
            <w:tcBorders>
              <w:right w:val="single" w:color="auto" w:sz="4" w:space="0"/>
            </w:tcBorders>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left w:val="single" w:color="auto" w:sz="4" w:space="0"/>
            </w:tcBorders>
            <w:shd w:val="clear" w:color="auto" w:fill="auto"/>
            <w:vAlign w:val="center"/>
          </w:tcPr>
          <w:p w14:paraId="724A960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2023年全部完成</w:t>
            </w:r>
          </w:p>
        </w:tc>
        <w:tc>
          <w:tcPr>
            <w:tcW w:w="1099" w:type="dxa"/>
            <w:shd w:val="clear" w:color="auto" w:fill="auto"/>
            <w:vAlign w:val="center"/>
          </w:tcPr>
          <w:p w14:paraId="015D039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2023.01-2023.12</w:t>
            </w:r>
          </w:p>
        </w:tc>
        <w:tc>
          <w:tcPr>
            <w:tcW w:w="1099" w:type="dxa"/>
            <w:shd w:val="clear" w:color="auto" w:fill="auto"/>
            <w:vAlign w:val="center"/>
          </w:tcPr>
          <w:p w14:paraId="5C21687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2023年年底全部完成</w:t>
            </w:r>
          </w:p>
        </w:tc>
        <w:tc>
          <w:tcPr>
            <w:tcW w:w="809" w:type="dxa"/>
            <w:shd w:val="clear" w:color="auto" w:fill="auto"/>
            <w:vAlign w:val="center"/>
          </w:tcPr>
          <w:p w14:paraId="0D16C331">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shd w:val="clear" w:color="auto" w:fill="auto"/>
            <w:vAlign w:val="center"/>
          </w:tcPr>
          <w:p w14:paraId="094C7D5E">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shd w:val="clear" w:color="auto" w:fill="auto"/>
            <w:vAlign w:val="center"/>
          </w:tcPr>
          <w:p w14:paraId="50DC120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上缴老年大学学费</w:t>
            </w:r>
          </w:p>
        </w:tc>
        <w:tc>
          <w:tcPr>
            <w:tcW w:w="1099" w:type="dxa"/>
            <w:shd w:val="clear" w:color="auto" w:fill="auto"/>
            <w:vAlign w:val="center"/>
          </w:tcPr>
          <w:p w14:paraId="53928C3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≥4万元</w:t>
            </w:r>
          </w:p>
        </w:tc>
        <w:tc>
          <w:tcPr>
            <w:tcW w:w="1099" w:type="dxa"/>
            <w:shd w:val="clear" w:color="auto" w:fill="auto"/>
            <w:vAlign w:val="center"/>
          </w:tcPr>
          <w:p w14:paraId="6D883DD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13.8万</w:t>
            </w:r>
          </w:p>
        </w:tc>
        <w:tc>
          <w:tcPr>
            <w:tcW w:w="809" w:type="dxa"/>
            <w:shd w:val="clear" w:color="auto" w:fill="auto"/>
            <w:vAlign w:val="center"/>
          </w:tcPr>
          <w:p w14:paraId="29584852">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shd w:val="clear" w:color="auto" w:fill="auto"/>
            <w:vAlign w:val="center"/>
          </w:tcPr>
          <w:p w14:paraId="41D412C8">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shd w:val="clear" w:color="auto" w:fill="auto"/>
            <w:vAlign w:val="center"/>
          </w:tcPr>
          <w:p w14:paraId="73C8CEB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让广大老年人感受到老有所乐、老有所学、老有所安</w:t>
            </w:r>
          </w:p>
        </w:tc>
        <w:tc>
          <w:tcPr>
            <w:tcW w:w="1099" w:type="dxa"/>
            <w:shd w:val="clear" w:color="auto" w:fill="auto"/>
            <w:vAlign w:val="center"/>
          </w:tcPr>
          <w:p w14:paraId="0187539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099" w:type="dxa"/>
            <w:shd w:val="clear" w:color="auto" w:fill="auto"/>
            <w:vAlign w:val="center"/>
          </w:tcPr>
          <w:p w14:paraId="4101F8D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809" w:type="dxa"/>
            <w:shd w:val="clear" w:color="auto" w:fill="auto"/>
            <w:vAlign w:val="center"/>
          </w:tcPr>
          <w:p w14:paraId="699C14AF">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shd w:val="clear" w:color="auto" w:fill="auto"/>
            <w:vAlign w:val="center"/>
          </w:tcPr>
          <w:p w14:paraId="0665EFF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shd w:val="clear" w:color="auto" w:fill="auto"/>
            <w:vAlign w:val="center"/>
          </w:tcPr>
          <w:p w14:paraId="467C354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099" w:type="dxa"/>
            <w:shd w:val="clear" w:color="auto" w:fill="auto"/>
            <w:vAlign w:val="center"/>
          </w:tcPr>
          <w:p w14:paraId="286C2197">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099" w:type="dxa"/>
            <w:shd w:val="clear" w:color="auto" w:fill="auto"/>
            <w:vAlign w:val="center"/>
          </w:tcPr>
          <w:p w14:paraId="4CA75DEB">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809" w:type="dxa"/>
            <w:shd w:val="clear" w:color="auto" w:fill="auto"/>
            <w:vAlign w:val="center"/>
          </w:tcPr>
          <w:p w14:paraId="491BA99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shd w:val="clear" w:color="auto" w:fill="auto"/>
            <w:vAlign w:val="center"/>
          </w:tcPr>
          <w:p w14:paraId="1BF7EB9C">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shd w:val="clear" w:color="auto" w:fill="auto"/>
            <w:vAlign w:val="center"/>
          </w:tcPr>
          <w:p w14:paraId="1BFEC1E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社会反响良好</w:t>
            </w:r>
          </w:p>
        </w:tc>
        <w:tc>
          <w:tcPr>
            <w:tcW w:w="1099" w:type="dxa"/>
            <w:shd w:val="clear" w:color="auto" w:fill="auto"/>
            <w:vAlign w:val="center"/>
          </w:tcPr>
          <w:p w14:paraId="48F3A1C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长期</w:t>
            </w:r>
          </w:p>
        </w:tc>
        <w:tc>
          <w:tcPr>
            <w:tcW w:w="1099" w:type="dxa"/>
            <w:shd w:val="clear" w:color="auto" w:fill="auto"/>
            <w:vAlign w:val="center"/>
          </w:tcPr>
          <w:p w14:paraId="596F13D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可持续影响良好</w:t>
            </w:r>
          </w:p>
        </w:tc>
        <w:tc>
          <w:tcPr>
            <w:tcW w:w="809" w:type="dxa"/>
            <w:shd w:val="clear" w:color="auto" w:fill="auto"/>
            <w:vAlign w:val="center"/>
          </w:tcPr>
          <w:p w14:paraId="49A57C7B">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shd w:val="clear" w:color="auto" w:fill="auto"/>
            <w:vAlign w:val="center"/>
          </w:tcPr>
          <w:p w14:paraId="044D5C88">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1054" w:type="dxa"/>
            <w:vMerge w:val="continue"/>
            <w:tcBorders>
              <w:right w:val="single" w:color="auto" w:sz="4" w:space="0"/>
            </w:tcBorders>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shd w:val="clear" w:color="auto" w:fill="auto"/>
            <w:vAlign w:val="center"/>
          </w:tcPr>
          <w:p w14:paraId="4471F21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离休干部和退休县处级干部满意度</w:t>
            </w:r>
          </w:p>
        </w:tc>
        <w:tc>
          <w:tcPr>
            <w:tcW w:w="1099" w:type="dxa"/>
            <w:shd w:val="clear" w:color="auto" w:fill="auto"/>
            <w:vAlign w:val="center"/>
          </w:tcPr>
          <w:p w14:paraId="10DB725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099" w:type="dxa"/>
            <w:shd w:val="clear" w:color="auto" w:fill="auto"/>
            <w:vAlign w:val="center"/>
          </w:tcPr>
          <w:p w14:paraId="65FCC67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809" w:type="dxa"/>
            <w:vMerge w:val="restart"/>
            <w:vAlign w:val="center"/>
          </w:tcPr>
          <w:p w14:paraId="29FD5B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14:paraId="57CE9A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054" w:type="dxa"/>
            <w:vMerge w:val="continue"/>
            <w:tcBorders>
              <w:right w:val="single" w:color="auto" w:sz="4" w:space="0"/>
            </w:tcBorders>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6C89EE40">
            <w:pPr>
              <w:spacing w:line="240" w:lineRule="auto"/>
              <w:ind w:firstLine="420"/>
              <w:jc w:val="center"/>
              <w:rPr>
                <w:rFonts w:ascii="仿宋_GB2312" w:hAnsi="宋体" w:eastAsia="仿宋_GB2312" w:cs="宋体"/>
                <w:kern w:val="0"/>
              </w:rPr>
            </w:pPr>
          </w:p>
        </w:tc>
        <w:tc>
          <w:tcPr>
            <w:tcW w:w="1020" w:type="dxa"/>
            <w:tcBorders>
              <w:left w:val="single" w:color="auto" w:sz="4" w:space="0"/>
            </w:tcBorders>
            <w:shd w:val="clear" w:color="auto" w:fill="auto"/>
            <w:vAlign w:val="center"/>
          </w:tcPr>
          <w:p w14:paraId="1703DA95">
            <w:pPr>
              <w:spacing w:line="24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社会公众满意度</w:t>
            </w:r>
          </w:p>
        </w:tc>
        <w:tc>
          <w:tcPr>
            <w:tcW w:w="1099" w:type="dxa"/>
            <w:shd w:val="clear" w:color="auto" w:fill="auto"/>
            <w:vAlign w:val="center"/>
          </w:tcPr>
          <w:p w14:paraId="1AF12BF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099" w:type="dxa"/>
            <w:shd w:val="clear" w:color="auto" w:fill="auto"/>
            <w:vAlign w:val="center"/>
          </w:tcPr>
          <w:p w14:paraId="17728D0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809" w:type="dxa"/>
            <w:vMerge w:val="continue"/>
            <w:vAlign w:val="center"/>
          </w:tcPr>
          <w:p w14:paraId="444A0622">
            <w:pPr>
              <w:spacing w:line="240" w:lineRule="auto"/>
              <w:ind w:firstLine="420"/>
              <w:jc w:val="center"/>
              <w:rPr>
                <w:rFonts w:ascii="仿宋_GB2312" w:hAnsi="宋体" w:eastAsia="仿宋_GB2312" w:cs="宋体"/>
                <w:kern w:val="0"/>
              </w:rPr>
            </w:pPr>
          </w:p>
        </w:tc>
        <w:tc>
          <w:tcPr>
            <w:tcW w:w="849" w:type="dxa"/>
            <w:vMerge w:val="continue"/>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054" w:type="dxa"/>
            <w:vMerge w:val="continue"/>
            <w:tcBorders>
              <w:right w:val="single" w:color="auto" w:sz="4" w:space="0"/>
            </w:tcBorders>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shd w:val="clear" w:color="auto" w:fill="auto"/>
            <w:vAlign w:val="center"/>
          </w:tcPr>
          <w:p w14:paraId="2D050142">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1"/>
                <w:szCs w:val="21"/>
              </w:rPr>
              <w:t>厉行节约</w:t>
            </w:r>
          </w:p>
        </w:tc>
        <w:tc>
          <w:tcPr>
            <w:tcW w:w="1099" w:type="dxa"/>
            <w:shd w:val="clear" w:color="auto" w:fill="auto"/>
            <w:vAlign w:val="center"/>
          </w:tcPr>
          <w:p w14:paraId="7D8FEFD1">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1"/>
                <w:szCs w:val="21"/>
              </w:rPr>
              <w:t>100%</w:t>
            </w:r>
          </w:p>
        </w:tc>
        <w:tc>
          <w:tcPr>
            <w:tcW w:w="1099" w:type="dxa"/>
            <w:shd w:val="clear" w:color="auto" w:fill="auto"/>
            <w:vAlign w:val="center"/>
          </w:tcPr>
          <w:p w14:paraId="729BFD57">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1"/>
                <w:szCs w:val="21"/>
              </w:rPr>
              <w:t>100%</w:t>
            </w:r>
          </w:p>
        </w:tc>
        <w:tc>
          <w:tcPr>
            <w:tcW w:w="809" w:type="dxa"/>
            <w:shd w:val="clear" w:color="auto" w:fill="auto"/>
            <w:vAlign w:val="center"/>
          </w:tcPr>
          <w:p w14:paraId="43443E17">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shd w:val="clear" w:color="auto" w:fill="auto"/>
            <w:vAlign w:val="center"/>
          </w:tcPr>
          <w:p w14:paraId="1005FDF9">
            <w:pPr>
              <w:spacing w:line="240" w:lineRule="auto"/>
              <w:jc w:val="center"/>
              <w:rPr>
                <w:rFonts w:hint="default"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9</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054" w:type="dxa"/>
            <w:vMerge w:val="continue"/>
            <w:tcBorders>
              <w:right w:val="single" w:color="auto" w:sz="4" w:space="0"/>
            </w:tcBorders>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shd w:val="clear" w:color="auto" w:fill="auto"/>
            <w:vAlign w:val="center"/>
          </w:tcPr>
          <w:p w14:paraId="61DC1F69">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不适用</w:t>
            </w:r>
          </w:p>
        </w:tc>
        <w:tc>
          <w:tcPr>
            <w:tcW w:w="1099" w:type="dxa"/>
            <w:shd w:val="clear" w:color="auto" w:fill="auto"/>
            <w:vAlign w:val="center"/>
          </w:tcPr>
          <w:p w14:paraId="515A6775">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1099" w:type="dxa"/>
            <w:shd w:val="clear" w:color="auto" w:fill="auto"/>
            <w:vAlign w:val="center"/>
          </w:tcPr>
          <w:p w14:paraId="79BCBEC4">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809" w:type="dxa"/>
            <w:shd w:val="clear" w:color="auto" w:fill="auto"/>
            <w:vAlign w:val="center"/>
          </w:tcPr>
          <w:p w14:paraId="7CB491CD">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shd w:val="clear" w:color="auto" w:fill="auto"/>
            <w:vAlign w:val="center"/>
          </w:tcPr>
          <w:p w14:paraId="7D79764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4</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054" w:type="dxa"/>
            <w:vMerge w:val="continue"/>
            <w:tcBorders>
              <w:right w:val="single" w:color="auto" w:sz="4" w:space="0"/>
            </w:tcBorders>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shd w:val="clear" w:color="auto" w:fill="auto"/>
            <w:vAlign w:val="center"/>
          </w:tcPr>
          <w:p w14:paraId="2C28E6A5">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不适用</w:t>
            </w:r>
          </w:p>
        </w:tc>
        <w:tc>
          <w:tcPr>
            <w:tcW w:w="1099" w:type="dxa"/>
            <w:shd w:val="clear" w:color="auto" w:fill="auto"/>
            <w:vAlign w:val="center"/>
          </w:tcPr>
          <w:p w14:paraId="52AC4F9E">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1099" w:type="dxa"/>
            <w:shd w:val="clear" w:color="auto" w:fill="auto"/>
            <w:vAlign w:val="center"/>
          </w:tcPr>
          <w:p w14:paraId="0867BB9D">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809" w:type="dxa"/>
            <w:shd w:val="clear" w:color="auto" w:fill="auto"/>
            <w:vAlign w:val="center"/>
          </w:tcPr>
          <w:p w14:paraId="640DCB80">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shd w:val="clear" w:color="auto" w:fill="auto"/>
            <w:vAlign w:val="center"/>
          </w:tcPr>
          <w:p w14:paraId="03C9828A">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4</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705D7B0F">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0456B817">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老干部事务中心</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汨罗市老干部事务中心(盖章)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734E48B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pacing w:val="0"/>
          <w:position w:val="0"/>
          <w:sz w:val="40"/>
          <w:szCs w:val="40"/>
          <w:lang w:val="en-US" w:eastAsia="zh-CN"/>
        </w:rPr>
      </w:pPr>
      <w:r>
        <w:rPr>
          <w:rFonts w:ascii="黑体" w:hAnsi="黑体" w:eastAsia="黑体" w:cs="黑体"/>
          <w:spacing w:val="0"/>
          <w:position w:val="0"/>
          <w:sz w:val="40"/>
          <w:szCs w:val="40"/>
        </w:rPr>
        <w:t>202</w:t>
      </w:r>
      <w:r>
        <w:rPr>
          <w:rFonts w:hint="eastAsia" w:ascii="黑体" w:hAnsi="黑体" w:eastAsia="黑体" w:cs="黑体"/>
          <w:spacing w:val="0"/>
          <w:position w:val="0"/>
          <w:sz w:val="40"/>
          <w:szCs w:val="40"/>
          <w:lang w:val="en-US" w:eastAsia="zh-CN"/>
        </w:rPr>
        <w:t>3</w:t>
      </w:r>
      <w:r>
        <w:rPr>
          <w:rFonts w:ascii="黑体" w:hAnsi="黑体" w:eastAsia="黑体" w:cs="黑体"/>
          <w:spacing w:val="0"/>
          <w:position w:val="0"/>
          <w:sz w:val="40"/>
          <w:szCs w:val="40"/>
        </w:rPr>
        <w:t>年度</w:t>
      </w:r>
      <w:r>
        <w:rPr>
          <w:rFonts w:hint="eastAsia" w:ascii="黑体" w:hAnsi="黑体" w:eastAsia="黑体" w:cs="黑体"/>
          <w:spacing w:val="0"/>
          <w:position w:val="0"/>
          <w:sz w:val="40"/>
          <w:szCs w:val="40"/>
          <w:lang w:val="en-US" w:eastAsia="zh-CN"/>
        </w:rPr>
        <w:t>汨罗市老干部事务中心</w:t>
      </w:r>
    </w:p>
    <w:p w14:paraId="7D88394B">
      <w:pPr>
        <w:kinsoku w:val="0"/>
        <w:autoSpaceDE w:val="0"/>
        <w:autoSpaceDN w:val="0"/>
        <w:adjustRightInd w:val="0"/>
        <w:snapToGrid w:val="0"/>
        <w:spacing w:before="211" w:line="224" w:lineRule="auto"/>
        <w:jc w:val="center"/>
        <w:textAlignment w:val="baseline"/>
        <w:rPr>
          <w:rFonts w:ascii="黑体" w:hAnsi="黑体" w:eastAsia="黑体" w:cs="黑体"/>
          <w:spacing w:val="0"/>
          <w:position w:val="0"/>
          <w:sz w:val="40"/>
          <w:szCs w:val="40"/>
        </w:rPr>
      </w:pPr>
      <w:r>
        <w:rPr>
          <w:rFonts w:ascii="黑体" w:hAnsi="黑体" w:eastAsia="黑体" w:cs="黑体"/>
          <w:spacing w:val="0"/>
          <w:position w:val="0"/>
          <w:sz w:val="40"/>
          <w:szCs w:val="40"/>
        </w:rPr>
        <w:t>部门整体支出绩效自评报告</w:t>
      </w:r>
    </w:p>
    <w:p w14:paraId="682A4448">
      <w:pPr>
        <w:kinsoku w:val="0"/>
        <w:autoSpaceDE w:val="0"/>
        <w:autoSpaceDN w:val="0"/>
        <w:adjustRightInd w:val="0"/>
        <w:snapToGrid w:val="0"/>
        <w:spacing w:before="211" w:line="224" w:lineRule="auto"/>
        <w:ind w:firstLine="638"/>
        <w:jc w:val="both"/>
        <w:textAlignment w:val="baseline"/>
        <w:rPr>
          <w:rFonts w:ascii="黑体" w:hAnsi="黑体" w:eastAsia="黑体" w:cs="黑体"/>
          <w:spacing w:val="0"/>
          <w:position w:val="0"/>
          <w:sz w:val="40"/>
          <w:szCs w:val="40"/>
          <w:lang w:val="en-US" w:eastAsia="zh-CN"/>
        </w:rPr>
      </w:pPr>
    </w:p>
    <w:p w14:paraId="78637705">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2FD7C17F">
      <w:pPr>
        <w:keepNext w:val="0"/>
        <w:keepLines w:val="0"/>
        <w:pageBreakBefore w:val="0"/>
        <w:widowControl/>
        <w:kinsoku w:val="0"/>
        <w:wordWrap/>
        <w:overflowPunct/>
        <w:topLinePunct w:val="0"/>
        <w:autoSpaceDE w:val="0"/>
        <w:autoSpaceDN w:val="0"/>
        <w:bidi w:val="0"/>
        <w:adjustRightInd w:val="0"/>
        <w:snapToGrid w:val="0"/>
        <w:spacing w:line="240" w:lineRule="auto"/>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（一）部门（单位）基本情况</w:t>
      </w:r>
    </w:p>
    <w:p w14:paraId="1DAF3907">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汨罗市老干部事务中心是负责对全市老干部工作的督查、指导和协调；督促老干部政治待遇和生活待遇的落实；组织指导老干部开展活动、发挥作用；指导全市离退休干部的党组织建设和全市老干部“四就近”的创建工作；负责老干部和老干部工作的宣传，开展尊老、敬老、爱老活动，依法维护老干部的合法权益；协助、管理、服务老年书画协会、老年大学、老年保健协会、老年门球协会的日常工作；指导全市老干部工作部门的自身建设工作。老干部活动属一级预算单位，无二级机构，单位实有人数12人，其中在职12人，为财政全额拨款单位。</w:t>
      </w:r>
    </w:p>
    <w:p w14:paraId="27D2643D">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（二）部门（单位）整体支出规模、使用方向和主要内容、涉及范围等</w:t>
      </w:r>
    </w:p>
    <w:p w14:paraId="3E111A74">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决算总支出</w:t>
      </w:r>
      <w:r>
        <w:rPr>
          <w:rFonts w:hint="eastAsia" w:ascii="仿宋_GB2312" w:hAnsi="仿宋_GB2312" w:eastAsia="仿宋_GB2312" w:cs="仿宋_GB2312"/>
          <w:kern w:val="0"/>
          <w:sz w:val="32"/>
          <w:szCs w:val="32"/>
          <w:lang w:val="en-US" w:eastAsia="zh-CN"/>
        </w:rPr>
        <w:t>391.34</w:t>
      </w:r>
      <w:r>
        <w:rPr>
          <w:rFonts w:hint="eastAsia" w:ascii="仿宋_GB2312" w:hAnsi="仿宋_GB2312" w:eastAsia="仿宋_GB2312" w:cs="仿宋_GB2312"/>
          <w:snapToGrid w:val="0"/>
          <w:color w:val="000000"/>
          <w:sz w:val="32"/>
          <w:szCs w:val="32"/>
          <w:lang w:val="en-US" w:eastAsia="zh-CN" w:bidi="ar-SA"/>
        </w:rPr>
        <w:t>万元，其中：基本支出</w:t>
      </w:r>
      <w:r>
        <w:rPr>
          <w:rFonts w:hint="eastAsia" w:ascii="仿宋_GB2312" w:hAnsi="仿宋_GB2312" w:eastAsia="仿宋_GB2312" w:cs="仿宋_GB2312"/>
          <w:kern w:val="0"/>
          <w:sz w:val="32"/>
          <w:szCs w:val="32"/>
          <w:lang w:val="en-US" w:eastAsia="zh-CN"/>
        </w:rPr>
        <w:t>198.02</w:t>
      </w:r>
      <w:r>
        <w:rPr>
          <w:rFonts w:hint="eastAsia" w:ascii="仿宋_GB2312" w:hAnsi="仿宋_GB2312" w:eastAsia="仿宋_GB2312" w:cs="仿宋_GB2312"/>
          <w:snapToGrid w:val="0"/>
          <w:color w:val="000000"/>
          <w:sz w:val="32"/>
          <w:szCs w:val="32"/>
          <w:lang w:val="en-US" w:eastAsia="zh-CN" w:bidi="ar-SA"/>
        </w:rPr>
        <w:t>万元（</w:t>
      </w:r>
      <w:r>
        <w:rPr>
          <w:rFonts w:hint="eastAsia" w:ascii="仿宋_GB2312" w:hAnsi="仿宋_GB2312" w:eastAsia="仿宋_GB2312" w:cs="仿宋_GB2312"/>
          <w:kern w:val="0"/>
          <w:sz w:val="32"/>
          <w:szCs w:val="32"/>
          <w:lang w:eastAsia="zh-CN"/>
        </w:rPr>
        <w:t>工资福利支出</w:t>
      </w:r>
      <w:r>
        <w:rPr>
          <w:rFonts w:hint="eastAsia" w:ascii="仿宋_GB2312" w:hAnsi="仿宋_GB2312" w:eastAsia="仿宋_GB2312" w:cs="仿宋_GB2312"/>
          <w:kern w:val="0"/>
          <w:sz w:val="32"/>
          <w:szCs w:val="32"/>
          <w:lang w:val="en-US" w:eastAsia="zh-CN"/>
        </w:rPr>
        <w:t>152.51</w:t>
      </w:r>
      <w:r>
        <w:rPr>
          <w:rFonts w:hint="eastAsia" w:ascii="仿宋_GB2312" w:hAnsi="仿宋_GB2312" w:eastAsia="仿宋_GB2312" w:cs="仿宋_GB2312"/>
          <w:kern w:val="0"/>
          <w:sz w:val="32"/>
          <w:szCs w:val="32"/>
          <w:lang w:eastAsia="zh-CN"/>
        </w:rPr>
        <w:t>万元、一般商品和服务支出</w:t>
      </w:r>
      <w:r>
        <w:rPr>
          <w:rFonts w:hint="eastAsia" w:ascii="仿宋_GB2312" w:hAnsi="仿宋_GB2312" w:eastAsia="仿宋_GB2312" w:cs="仿宋_GB2312"/>
          <w:kern w:val="0"/>
          <w:sz w:val="32"/>
          <w:szCs w:val="32"/>
          <w:lang w:val="en-US" w:eastAsia="zh-CN"/>
        </w:rPr>
        <w:t>39.89</w:t>
      </w:r>
      <w:r>
        <w:rPr>
          <w:rFonts w:hint="eastAsia" w:ascii="仿宋_GB2312" w:hAnsi="仿宋_GB2312" w:eastAsia="仿宋_GB2312" w:cs="仿宋_GB2312"/>
          <w:kern w:val="0"/>
          <w:sz w:val="32"/>
          <w:szCs w:val="32"/>
          <w:lang w:eastAsia="zh-CN"/>
        </w:rPr>
        <w:t>万元、对个人和家庭补助支出</w:t>
      </w:r>
      <w:r>
        <w:rPr>
          <w:rFonts w:hint="eastAsia" w:ascii="仿宋_GB2312" w:hAnsi="仿宋_GB2312" w:eastAsia="仿宋_GB2312" w:cs="仿宋_GB2312"/>
          <w:kern w:val="0"/>
          <w:sz w:val="32"/>
          <w:szCs w:val="32"/>
          <w:lang w:val="en-US" w:eastAsia="zh-CN"/>
        </w:rPr>
        <w:t>3.68</w:t>
      </w:r>
      <w:r>
        <w:rPr>
          <w:rFonts w:hint="eastAsia" w:ascii="仿宋_GB2312" w:hAnsi="仿宋_GB2312" w:eastAsia="仿宋_GB2312" w:cs="仿宋_GB2312"/>
          <w:kern w:val="0"/>
          <w:sz w:val="32"/>
          <w:szCs w:val="32"/>
          <w:lang w:eastAsia="zh-CN"/>
        </w:rPr>
        <w:t>万元，资本性支出1.</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lang w:eastAsia="zh-CN"/>
        </w:rPr>
        <w:t>万元</w:t>
      </w:r>
      <w:r>
        <w:rPr>
          <w:rFonts w:hint="eastAsia" w:ascii="仿宋_GB2312" w:hAnsi="仿宋_GB2312" w:eastAsia="仿宋_GB2312" w:cs="仿宋_GB2312"/>
          <w:snapToGrid w:val="0"/>
          <w:color w:val="000000"/>
          <w:sz w:val="32"/>
          <w:szCs w:val="32"/>
          <w:lang w:val="en-US" w:eastAsia="zh-CN" w:bidi="ar-SA"/>
        </w:rPr>
        <w:t>）。项目支出：</w:t>
      </w:r>
      <w:r>
        <w:rPr>
          <w:rFonts w:hint="eastAsia" w:ascii="仿宋_GB2312" w:hAnsi="仿宋_GB2312" w:eastAsia="仿宋_GB2312" w:cs="仿宋_GB2312"/>
          <w:kern w:val="0"/>
          <w:sz w:val="32"/>
          <w:szCs w:val="32"/>
          <w:lang w:val="en-US" w:eastAsia="zh-CN"/>
        </w:rPr>
        <w:t>193.31</w:t>
      </w:r>
      <w:r>
        <w:rPr>
          <w:rFonts w:hint="eastAsia" w:ascii="仿宋_GB2312" w:hAnsi="仿宋_GB2312" w:eastAsia="仿宋_GB2312" w:cs="仿宋_GB2312"/>
          <w:snapToGrid w:val="0"/>
          <w:color w:val="000000"/>
          <w:sz w:val="32"/>
          <w:szCs w:val="32"/>
          <w:lang w:val="en-US" w:eastAsia="zh-CN" w:bidi="ar-SA"/>
        </w:rPr>
        <w:t>万元，（老干部特需、各涉老协会经费154.85万元，运行维护经费38.46万元）。</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E0F1C97">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总支出</w:t>
      </w:r>
      <w:r>
        <w:rPr>
          <w:rFonts w:hint="eastAsia" w:ascii="仿宋_GB2312" w:hAnsi="仿宋_GB2312" w:eastAsia="仿宋_GB2312" w:cs="仿宋_GB2312"/>
          <w:kern w:val="0"/>
          <w:sz w:val="32"/>
          <w:szCs w:val="32"/>
          <w:lang w:val="en-US" w:eastAsia="zh-CN"/>
        </w:rPr>
        <w:t>391.34</w:t>
      </w:r>
      <w:r>
        <w:rPr>
          <w:rFonts w:hint="eastAsia" w:ascii="Times New Roman" w:hAnsi="Times New Roman" w:eastAsia="仿宋_GB2312"/>
          <w:kern w:val="0"/>
          <w:sz w:val="32"/>
          <w:szCs w:val="32"/>
          <w:lang w:eastAsia="zh-CN"/>
        </w:rPr>
        <w:t>万元，其中：基本支出</w:t>
      </w:r>
      <w:r>
        <w:rPr>
          <w:rFonts w:hint="eastAsia" w:ascii="仿宋_GB2312" w:hAnsi="仿宋_GB2312" w:eastAsia="仿宋_GB2312" w:cs="仿宋_GB2312"/>
          <w:kern w:val="0"/>
          <w:sz w:val="32"/>
          <w:szCs w:val="32"/>
          <w:lang w:val="en-US" w:eastAsia="zh-CN"/>
        </w:rPr>
        <w:t>198.02</w:t>
      </w:r>
      <w:r>
        <w:rPr>
          <w:rFonts w:hint="eastAsia" w:ascii="Times New Roman" w:hAnsi="Times New Roman" w:eastAsia="仿宋_GB2312"/>
          <w:kern w:val="0"/>
          <w:sz w:val="32"/>
          <w:szCs w:val="32"/>
          <w:lang w:eastAsia="zh-CN"/>
        </w:rPr>
        <w:t>万元（工资福利支出</w:t>
      </w:r>
      <w:r>
        <w:rPr>
          <w:rFonts w:hint="eastAsia" w:ascii="仿宋_GB2312" w:hAnsi="仿宋_GB2312" w:eastAsia="仿宋_GB2312" w:cs="仿宋_GB2312"/>
          <w:kern w:val="0"/>
          <w:sz w:val="32"/>
          <w:szCs w:val="32"/>
          <w:lang w:val="en-US" w:eastAsia="zh-CN"/>
        </w:rPr>
        <w:t>152.51</w:t>
      </w:r>
      <w:r>
        <w:rPr>
          <w:rFonts w:hint="eastAsia" w:ascii="Times New Roman" w:hAnsi="Times New Roman" w:eastAsia="仿宋_GB2312"/>
          <w:kern w:val="0"/>
          <w:sz w:val="32"/>
          <w:szCs w:val="32"/>
          <w:lang w:eastAsia="zh-CN"/>
        </w:rPr>
        <w:t>万元、一般商品和服务支出</w:t>
      </w:r>
      <w:r>
        <w:rPr>
          <w:rFonts w:hint="eastAsia" w:ascii="仿宋_GB2312" w:hAnsi="仿宋_GB2312" w:eastAsia="仿宋_GB2312" w:cs="仿宋_GB2312"/>
          <w:kern w:val="0"/>
          <w:sz w:val="32"/>
          <w:szCs w:val="32"/>
          <w:lang w:val="en-US" w:eastAsia="zh-CN"/>
        </w:rPr>
        <w:t>39.89</w:t>
      </w:r>
      <w:r>
        <w:rPr>
          <w:rFonts w:hint="eastAsia" w:ascii="Times New Roman" w:hAnsi="Times New Roman" w:eastAsia="仿宋_GB2312"/>
          <w:kern w:val="0"/>
          <w:sz w:val="32"/>
          <w:szCs w:val="32"/>
          <w:lang w:eastAsia="zh-CN"/>
        </w:rPr>
        <w:t>万元、对个人和家庭补助支出</w:t>
      </w:r>
      <w:r>
        <w:rPr>
          <w:rFonts w:hint="eastAsia" w:ascii="仿宋_GB2312" w:hAnsi="仿宋_GB2312" w:eastAsia="仿宋_GB2312" w:cs="仿宋_GB2312"/>
          <w:kern w:val="0"/>
          <w:sz w:val="32"/>
          <w:szCs w:val="32"/>
          <w:lang w:val="en-US" w:eastAsia="zh-CN"/>
        </w:rPr>
        <w:t>3.68</w:t>
      </w:r>
      <w:r>
        <w:rPr>
          <w:rFonts w:hint="eastAsia" w:ascii="Times New Roman" w:hAnsi="Times New Roman" w:eastAsia="仿宋_GB2312"/>
          <w:kern w:val="0"/>
          <w:sz w:val="32"/>
          <w:szCs w:val="32"/>
          <w:lang w:eastAsia="zh-CN"/>
        </w:rPr>
        <w:t>万元，资本性支出</w:t>
      </w: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95</w:t>
      </w:r>
      <w:r>
        <w:rPr>
          <w:rFonts w:hint="eastAsia" w:ascii="Times New Roman" w:hAnsi="Times New Roman" w:eastAsia="仿宋_GB2312"/>
          <w:kern w:val="0"/>
          <w:sz w:val="32"/>
          <w:szCs w:val="32"/>
          <w:lang w:eastAsia="zh-CN"/>
        </w:rPr>
        <w:t>万元）</w:t>
      </w:r>
    </w:p>
    <w:p w14:paraId="00657FCB">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51B5010F">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专项经费</w:t>
      </w:r>
      <w:r>
        <w:rPr>
          <w:rFonts w:hint="eastAsia" w:ascii="仿宋_GB2312" w:hAnsi="仿宋_GB2312" w:eastAsia="仿宋_GB2312" w:cs="仿宋_GB2312"/>
          <w:kern w:val="0"/>
          <w:sz w:val="32"/>
          <w:szCs w:val="32"/>
          <w:lang w:val="en-US" w:eastAsia="zh-CN"/>
        </w:rPr>
        <w:t>193.31</w:t>
      </w:r>
      <w:r>
        <w:rPr>
          <w:rFonts w:hint="eastAsia" w:ascii="Times New Roman" w:hAnsi="Times New Roman" w:eastAsia="仿宋_GB2312"/>
          <w:kern w:val="0"/>
          <w:sz w:val="32"/>
          <w:szCs w:val="32"/>
          <w:lang w:eastAsia="zh-CN"/>
        </w:rPr>
        <w:t>万元，其中：老干部特需、各涉老协会经费</w:t>
      </w:r>
      <w:r>
        <w:rPr>
          <w:rFonts w:hint="eastAsia" w:ascii="仿宋_GB2312" w:hAnsi="仿宋_GB2312" w:eastAsia="仿宋_GB2312" w:cs="仿宋_GB2312"/>
          <w:snapToGrid w:val="0"/>
          <w:color w:val="000000"/>
          <w:sz w:val="32"/>
          <w:szCs w:val="32"/>
          <w:lang w:val="en-US" w:eastAsia="zh-CN" w:bidi="ar-SA"/>
        </w:rPr>
        <w:t>154.85</w:t>
      </w:r>
      <w:r>
        <w:rPr>
          <w:rFonts w:hint="eastAsia" w:ascii="Times New Roman" w:hAnsi="Times New Roman" w:eastAsia="仿宋_GB2312"/>
          <w:kern w:val="0"/>
          <w:sz w:val="32"/>
          <w:szCs w:val="32"/>
          <w:lang w:eastAsia="zh-CN"/>
        </w:rPr>
        <w:t>万元，运行维护经费</w:t>
      </w:r>
      <w:r>
        <w:rPr>
          <w:rFonts w:hint="eastAsia" w:ascii="仿宋_GB2312" w:hAnsi="仿宋_GB2312" w:eastAsia="仿宋_GB2312" w:cs="仿宋_GB2312"/>
          <w:snapToGrid w:val="0"/>
          <w:color w:val="000000"/>
          <w:sz w:val="32"/>
          <w:szCs w:val="32"/>
          <w:lang w:val="en-US" w:eastAsia="zh-CN" w:bidi="ar-SA"/>
        </w:rPr>
        <w:t>38.46</w:t>
      </w:r>
      <w:r>
        <w:rPr>
          <w:rFonts w:hint="eastAsia" w:ascii="Times New Roman" w:hAnsi="Times New Roman" w:eastAsia="仿宋_GB2312"/>
          <w:kern w:val="0"/>
          <w:sz w:val="32"/>
          <w:szCs w:val="32"/>
          <w:lang w:eastAsia="zh-CN"/>
        </w:rPr>
        <w:t>万元。</w:t>
      </w:r>
    </w:p>
    <w:p w14:paraId="7702B67A">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1、专项资金安排落实、总投入等情况分析</w:t>
      </w:r>
    </w:p>
    <w:p w14:paraId="67364567">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专项经费</w:t>
      </w:r>
      <w:r>
        <w:rPr>
          <w:rFonts w:hint="eastAsia" w:ascii="仿宋_GB2312" w:hAnsi="仿宋_GB2312" w:eastAsia="仿宋_GB2312" w:cs="仿宋_GB2312"/>
          <w:kern w:val="0"/>
          <w:sz w:val="32"/>
          <w:szCs w:val="32"/>
          <w:lang w:val="en-US" w:eastAsia="zh-CN"/>
        </w:rPr>
        <w:t>193.31</w:t>
      </w:r>
      <w:r>
        <w:rPr>
          <w:rFonts w:hint="eastAsia" w:ascii="Times New Roman" w:hAnsi="Times New Roman" w:eastAsia="仿宋_GB2312"/>
          <w:kern w:val="0"/>
          <w:sz w:val="32"/>
          <w:szCs w:val="32"/>
          <w:lang w:eastAsia="zh-CN"/>
        </w:rPr>
        <w:t>万元，占总支出的</w:t>
      </w:r>
      <w:r>
        <w:rPr>
          <w:rFonts w:hint="eastAsia" w:ascii="Times New Roman" w:hAnsi="Times New Roman" w:eastAsia="仿宋_GB2312"/>
          <w:kern w:val="0"/>
          <w:sz w:val="32"/>
          <w:szCs w:val="32"/>
          <w:lang w:val="en-US" w:eastAsia="zh-CN"/>
        </w:rPr>
        <w:t>49.40</w:t>
      </w:r>
      <w:r>
        <w:rPr>
          <w:rFonts w:hint="eastAsia" w:ascii="Times New Roman" w:hAnsi="Times New Roman" w:eastAsia="仿宋_GB2312"/>
          <w:kern w:val="0"/>
          <w:sz w:val="32"/>
          <w:szCs w:val="32"/>
          <w:lang w:eastAsia="zh-CN"/>
        </w:rPr>
        <w:t>%，全部为老干部事务中心专项。主要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w:t>
      </w:r>
    </w:p>
    <w:p w14:paraId="468101BC">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2、专项资金实际使用情况分析</w:t>
      </w:r>
    </w:p>
    <w:p w14:paraId="6A0A0D44">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按照财政预算资金，严格控制成本，如质如量完成，使领导满意、老干部满意、群众满意。</w:t>
      </w:r>
    </w:p>
    <w:p w14:paraId="7AFD0A6F">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3、专项资金管理情况分析</w:t>
      </w:r>
    </w:p>
    <w:p w14:paraId="529D8B8A">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全部实行整体支出绩效目标管理，并严格按照市委市政府、市财政相关预算绩效管理文件精神建立本部门预算绩效管理制度，对老干部各类专项进行控制管理。</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3CFB4667">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本单位202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年度没有政府性基金预算支出</w:t>
      </w:r>
    </w:p>
    <w:p w14:paraId="2A755169">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407F7CC">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本单位202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年度没有国有资本经营预算支出</w:t>
      </w:r>
    </w:p>
    <w:p w14:paraId="07F1EBC0">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390AD450">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本单位202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年度没有社会保险基金预算支出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2C506B6D">
      <w:pPr>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年，在</w:t>
      </w:r>
      <w:r>
        <w:rPr>
          <w:rFonts w:hint="eastAsia" w:ascii="仿宋_GB2312" w:hAnsi="仿宋_GB2312" w:eastAsia="仿宋_GB2312" w:cs="仿宋_GB2312"/>
          <w:color w:val="auto"/>
          <w:sz w:val="32"/>
          <w:szCs w:val="32"/>
          <w:lang w:eastAsia="zh-CN"/>
        </w:rPr>
        <w:t>市委</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的正确</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下，</w:t>
      </w:r>
      <w:r>
        <w:rPr>
          <w:rFonts w:hint="eastAsia" w:ascii="仿宋_GB2312" w:hAnsi="仿宋_GB2312" w:eastAsia="仿宋_GB2312" w:cs="仿宋_GB2312"/>
          <w:color w:val="auto"/>
          <w:sz w:val="32"/>
          <w:szCs w:val="32"/>
          <w:lang w:val="en-US" w:eastAsia="zh-CN"/>
        </w:rPr>
        <w:t>我市老干部工作</w:t>
      </w:r>
      <w:r>
        <w:rPr>
          <w:rFonts w:hint="eastAsia" w:ascii="仿宋_GB2312" w:hAnsi="仿宋_GB2312" w:eastAsia="仿宋_GB2312" w:cs="仿宋_GB2312"/>
          <w:color w:val="auto"/>
          <w:sz w:val="32"/>
          <w:szCs w:val="32"/>
          <w:lang w:eastAsia="zh-CN"/>
        </w:rPr>
        <w:t>坚持以习近平新时代中国特色社会主义思想为指导，</w:t>
      </w:r>
      <w:r>
        <w:rPr>
          <w:rFonts w:hint="eastAsia" w:ascii="仿宋_GB2312" w:hAnsi="仿宋_GB2312" w:eastAsia="仿宋_GB2312" w:cs="仿宋_GB2312"/>
          <w:color w:val="auto"/>
          <w:sz w:val="32"/>
          <w:szCs w:val="32"/>
          <w:lang w:val="en-US" w:eastAsia="zh-CN"/>
        </w:rPr>
        <w:t>主动适应新形势、新要求，举办了一系列丰富老同志精神文化生活的活动，</w:t>
      </w:r>
      <w:r>
        <w:rPr>
          <w:rFonts w:hint="eastAsia" w:ascii="仿宋_GB2312" w:hAnsi="仿宋_GB2312" w:eastAsia="仿宋_GB2312" w:cs="仿宋_GB2312"/>
          <w:color w:val="auto"/>
          <w:sz w:val="32"/>
          <w:szCs w:val="32"/>
        </w:rPr>
        <w:t>发挥了凝聚力量、助力发展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构建和谐</w:t>
      </w:r>
      <w:r>
        <w:rPr>
          <w:rFonts w:hint="eastAsia" w:ascii="仿宋_GB2312" w:hAnsi="仿宋_GB2312" w:eastAsia="仿宋_GB2312" w:cs="仿宋_GB2312"/>
          <w:color w:val="auto"/>
          <w:sz w:val="32"/>
          <w:szCs w:val="32"/>
        </w:rPr>
        <w:t>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取得了不错的成绩。</w:t>
      </w:r>
    </w:p>
    <w:p w14:paraId="01B17296">
      <w:pPr>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精益求精，扎实做好保障服务工作。2023年，由我中心服务的老干部共101人，其中“四大家”原任实职退休老领导34人（其中担任副书记以上职位12人）；离休干部18人；非“四大家”退休县处级干部49人。在保障离退休干部各项待遇落实到位的基础上，2023年2月份，我中心开展优化汨罗市离退休干部医疗就诊活动，积极协调市人民医院、市中医院、市卫健局、市医保中心等单位，建立离退休干部“一站式”就医制度、完善离退休干部就医绿色通道、建立健全责任机制等措施，为75位70岁以上的离退休干部办理了应急医疗就诊联系卡，有效提高了离退休干部医疗保障服务水平。</w:t>
      </w:r>
    </w:p>
    <w:p w14:paraId="27088F3E">
      <w:pPr>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二、强化机制，推动离退休党建工作规范发展</w:t>
      </w:r>
      <w:r>
        <w:rPr>
          <w:rFonts w:hint="eastAsia" w:ascii="仿宋_GB2312" w:hAnsi="仿宋_GB2312" w:eastAsia="仿宋_GB2312" w:cs="仿宋_GB2312"/>
          <w:color w:val="auto"/>
          <w:sz w:val="32"/>
          <w:szCs w:val="32"/>
          <w:lang w:val="en-US" w:eastAsia="zh-CN"/>
        </w:rPr>
        <w:t>。主动对标对表中央和省委市委关于加强新时代离退休干部党的建设工作文件要求，加强指导督促，开展情况摸底，规范组织设置，全力推动离退休干部党组织建设，目前全市离退休干部党支部增至70个，在册离退休干部党员2513人。其中，市直单位离退休党支部50个，乡镇离退休干部党支部15个，企业离退休党支部3个（物资总公司、商业总公司、供销合作社），社区离退休干部党支部2个（友谊河社区、瞭家山社区）。</w:t>
      </w:r>
    </w:p>
    <w:p w14:paraId="4876BA31">
      <w:pPr>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三、勇于创新，着力夯实老年工作载体</w:t>
      </w:r>
      <w:r>
        <w:rPr>
          <w:rFonts w:hint="eastAsia" w:ascii="仿宋_GB2312" w:hAnsi="仿宋_GB2312" w:eastAsia="仿宋_GB2312" w:cs="仿宋_GB2312"/>
          <w:color w:val="auto"/>
          <w:sz w:val="32"/>
          <w:szCs w:val="32"/>
          <w:lang w:val="en-US" w:eastAsia="zh-CN"/>
        </w:rPr>
        <w:t>。一是发展老年人体育事业。我们联合汨罗市教育体育局、文旅广电局、市创建办等单位于2023年6月11日启幕举办了2023年汨罗市“中国体彩杯”首届老年人体育健身大会。二是拓展老年办学特色。2023年，老年大学推出“老有所思谈发展”的专题系列讲座，编辑《老年大学参阅》件4期。老年大学开设舞蹈、声乐、太极、书法、戏曲等11个专业共34个班级，全年学员达1300余人（次），为老年朋友提供了一个集学习健身交友于一体的良好平台。12月，事务中心组织举办了首届老年大学元旦晚会，晚会全程直播，线上线下反响热烈。</w:t>
      </w:r>
    </w:p>
    <w:p w14:paraId="7DB3FF3F">
      <w:pPr>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四、齐心聚力，引领涉老组织发挥余热</w:t>
      </w:r>
      <w:r>
        <w:rPr>
          <w:rFonts w:hint="eastAsia" w:ascii="仿宋_GB2312" w:hAnsi="仿宋_GB2312" w:eastAsia="仿宋_GB2312" w:cs="仿宋_GB2312"/>
          <w:color w:val="auto"/>
          <w:sz w:val="32"/>
          <w:szCs w:val="32"/>
          <w:lang w:val="en-US" w:eastAsia="zh-CN"/>
        </w:rPr>
        <w:t>。一是政策宣传进基层。组织各涉老协会成立“五老”宣讲团深入基层，全年深入农村开展宣讲活动21场，为村民发放学习资料3000余份。二是科技指导助力乡村振兴。老科协以科技服务“三农”，助力乡村振兴为宗旨，巩固和发展了市、镇、村三级种养科普基地96个，市、镇两级老科协均在会员中挑选相关科技人员组建科普及科技服务团（队）23个。联合市科协与各相关部门单位在职技术人员及各乡镇负责农林水工作的在职技术人员，组建科普群26个，全年、全程服务全市农业产业发展工作。三是致力协助青少年法治教育。2023年，市关工委五老宣讲团进乡村、社区、学校开展青少年相关法律法规宣讲12场，订购2000多本《未成年人保护法》《中华人民共和国家庭教育促进法》下发到各市直单位、乡镇、社区关工委和全市各中小学校。四是开展健康宣教助力老年保健。市老年保健协会坚持不懈自编《健康资讯》读本，全年分发达11000份。全市各级老年保健协会共组织开展卫生与健康知识讲座11场次，累计听课，收听人数达3240人，共发放健康知识读本、专项保健按摩、理疗资料2100多份；建立市、镇、村三级健康科普微信网络平台12个；累计制作转发各类健康卫生知识信息微信1200多条（个）。</w:t>
      </w:r>
    </w:p>
    <w:p w14:paraId="1E188BBF">
      <w:pPr>
        <w:widowControl/>
        <w:kinsoku w:val="0"/>
        <w:autoSpaceDE w:val="0"/>
        <w:autoSpaceDN w:val="0"/>
        <w:adjustRightInd w:val="0"/>
        <w:snapToGrid w:val="0"/>
        <w:spacing w:line="60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通过上述工作的开展，较好的完成了年度总体目标，离退休干部满意度提高，社会反响良好。</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6306884">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未按规定时限内公开,资产处置程序稍有不到位,因单位性质为公益类原因，经济效益有所欠缺。</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2D521B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细化预算编制工作，认真做好预算的编制。严格按照预算编制的相关制度和要求进行预算编制，全面编制预算项目，优先保障固定性的相对刚性的费用支出项目，进一步提高预算编制的科学性、严谨性和可控性</w:t>
      </w:r>
    </w:p>
    <w:p w14:paraId="6DB2AD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2、加强财务管理，严格财务审批。在费用报账支付时，按照预算规定的费用项目和用途进行资金使用、审核，列报支付，财务核算杜绝超支现象的发生。</w:t>
      </w:r>
    </w:p>
    <w:p w14:paraId="53A2E4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3、持续抓好“三公经费”，控制管理。严格控制“三公经费”的规模和比例，把关“三公经费”支出的审核、审批，进一步细化“三公经费”的管理，合理压缩“三公经费”的支出。</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85AA834">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根据市财政相关部门统一部署，我单位202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年部门整体支出绩效自评情况将在市政府门户网站公开，接受社会监督，对绩效自评工作中发现的问题及时整改，解决好绩效评价管理中存在的问题提高工作效能。根据部门整体支出绩效评价指标评分标准，202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年我单位部门整体绩效评价自评分为9</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分。</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75D004D9">
      <w:pPr>
        <w:spacing w:line="600" w:lineRule="exact"/>
        <w:ind w:firstLine="640" w:firstLineChars="200"/>
        <w:jc w:val="both"/>
        <w:rPr>
          <w:rFonts w:hint="eastAsia" w:eastAsia="仿宋_GB2312"/>
          <w:kern w:val="0"/>
          <w:sz w:val="32"/>
          <w:szCs w:val="32"/>
          <w:lang w:eastAsia="zh-CN"/>
        </w:rPr>
      </w:pPr>
    </w:p>
    <w:p w14:paraId="4535E18A">
      <w:pPr>
        <w:spacing w:line="600" w:lineRule="exact"/>
        <w:ind w:firstLine="640" w:firstLineChars="200"/>
        <w:jc w:val="both"/>
        <w:rPr>
          <w:rFonts w:hint="eastAsia" w:eastAsia="仿宋_GB2312"/>
          <w:kern w:val="0"/>
          <w:sz w:val="32"/>
          <w:szCs w:val="32"/>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40BD8B49">
      <w:pPr>
        <w:spacing w:before="201" w:line="578" w:lineRule="exact"/>
        <w:jc w:val="center"/>
        <w:rPr>
          <w:rFonts w:hint="eastAsia" w:ascii="Times New Roman" w:hAnsi="Times New Roman" w:eastAsia="宋体" w:cs="Times New Roman"/>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val="en-US" w:eastAsia="zh-CN"/>
        </w:rPr>
        <w:t>汨罗市老干部事务中心</w:t>
      </w:r>
    </w:p>
    <w:p w14:paraId="5035F9FC">
      <w:pPr>
        <w:spacing w:before="201" w:line="240" w:lineRule="auto"/>
        <w:jc w:val="center"/>
        <w:rPr>
          <w:rFonts w:ascii="黑体" w:hAnsi="黑体" w:eastAsia="黑体" w:cs="黑体"/>
          <w:sz w:val="42"/>
          <w:szCs w:val="42"/>
        </w:rPr>
      </w:pPr>
      <w:r>
        <w:rPr>
          <w:rFonts w:hint="eastAsia" w:ascii="黑体" w:hAnsi="黑体" w:eastAsia="黑体" w:cs="黑体"/>
          <w:spacing w:val="0"/>
          <w:position w:val="0"/>
          <w:sz w:val="42"/>
          <w:szCs w:val="42"/>
        </w:rPr>
        <w:t>项目支出绩效自评报告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汨罗市老干部事务中心</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05BCF5FE">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根据市委市政府工作安排以及汨罗市老干部工作领导小组会议纪要，本项目为延续项目，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w:t>
      </w:r>
    </w:p>
    <w:p w14:paraId="29A4FD3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ascii="仿宋_GB2312" w:hAnsi="仿宋_GB2312" w:eastAsia="仿宋_GB2312" w:cs="仿宋_GB2312"/>
          <w:kern w:val="0"/>
          <w:sz w:val="32"/>
          <w:szCs w:val="32"/>
          <w:lang w:val="en-US" w:eastAsia="en-US"/>
        </w:rPr>
        <w:t>专项经费</w:t>
      </w:r>
      <w:r>
        <w:rPr>
          <w:rFonts w:hint="eastAsia" w:ascii="仿宋_GB2312" w:hAnsi="仿宋_GB2312" w:eastAsia="仿宋_GB2312" w:cs="仿宋_GB2312"/>
          <w:kern w:val="0"/>
          <w:sz w:val="32"/>
          <w:szCs w:val="32"/>
          <w:lang w:val="en-US" w:eastAsia="zh-CN"/>
        </w:rPr>
        <w:t>193.31</w:t>
      </w:r>
      <w:r>
        <w:rPr>
          <w:rFonts w:hint="eastAsia" w:ascii="仿宋_GB2312" w:hAnsi="仿宋_GB2312" w:eastAsia="仿宋_GB2312" w:cs="仿宋_GB2312"/>
          <w:kern w:val="0"/>
          <w:sz w:val="32"/>
          <w:szCs w:val="32"/>
          <w:lang w:val="en-US" w:eastAsia="en-US"/>
        </w:rPr>
        <w:t>万元，占总支出的</w:t>
      </w:r>
      <w:r>
        <w:rPr>
          <w:rFonts w:hint="eastAsia" w:ascii="仿宋_GB2312" w:hAnsi="仿宋_GB2312" w:eastAsia="仿宋_GB2312" w:cs="仿宋_GB2312"/>
          <w:kern w:val="0"/>
          <w:sz w:val="32"/>
          <w:szCs w:val="32"/>
          <w:lang w:val="en-US" w:eastAsia="zh-CN"/>
        </w:rPr>
        <w:t>49.40</w:t>
      </w:r>
      <w:r>
        <w:rPr>
          <w:rFonts w:hint="eastAsia" w:ascii="仿宋_GB2312" w:hAnsi="仿宋_GB2312" w:eastAsia="仿宋_GB2312" w:cs="仿宋_GB2312"/>
          <w:kern w:val="0"/>
          <w:sz w:val="32"/>
          <w:szCs w:val="32"/>
          <w:lang w:val="en-US" w:eastAsia="en-US"/>
        </w:rPr>
        <w:t>%，全部为老干部事务中心专项。主要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w:t>
      </w:r>
    </w:p>
    <w:p w14:paraId="0B5CFE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仿宋_GB2312" w:hAnsi="仿宋_GB2312" w:eastAsia="仿宋_GB2312" w:cs="仿宋_GB2312"/>
          <w:kern w:val="0"/>
          <w:sz w:val="32"/>
          <w:szCs w:val="32"/>
          <w:lang w:val="en-US" w:eastAsia="en-US"/>
        </w:rPr>
        <w:t>全部实行整体支出绩效目标管理，并严格按照市委市政府、市财政相关预算绩效管理文件精神建立本部门预算绩效管理制度，对老干部各类专项进行控制管理。</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仿宋_GB2312" w:hAnsi="仿宋_GB2312" w:eastAsia="仿宋_GB2312" w:cs="仿宋_GB2312"/>
          <w:b w:val="0"/>
          <w:bCs w:val="0"/>
          <w:snapToGrid w:val="0"/>
          <w:color w:val="000000"/>
          <w:spacing w:val="-15"/>
          <w:kern w:val="0"/>
          <w:sz w:val="32"/>
          <w:szCs w:val="32"/>
          <w:lang w:eastAsia="en-US"/>
        </w:rPr>
        <w:t>我单位项目主要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各项目资金严格按照财务管理规定执行，使用科目合理，程序合法，确保了项目的顺利完成，使领导满意、老干部满意、群众满意，并于202</w:t>
      </w:r>
      <w:r>
        <w:rPr>
          <w:rFonts w:hint="eastAsia" w:ascii="仿宋_GB2312" w:hAnsi="仿宋_GB2312" w:eastAsia="仿宋_GB2312" w:cs="仿宋_GB2312"/>
          <w:b w:val="0"/>
          <w:bCs w:val="0"/>
          <w:snapToGrid w:val="0"/>
          <w:color w:val="000000"/>
          <w:spacing w:val="-15"/>
          <w:kern w:val="0"/>
          <w:sz w:val="32"/>
          <w:szCs w:val="32"/>
          <w:lang w:val="en-US" w:eastAsia="zh-CN"/>
        </w:rPr>
        <w:t>3</w:t>
      </w:r>
      <w:r>
        <w:rPr>
          <w:rFonts w:hint="eastAsia" w:ascii="仿宋_GB2312" w:hAnsi="仿宋_GB2312" w:eastAsia="仿宋_GB2312" w:cs="仿宋_GB2312"/>
          <w:b w:val="0"/>
          <w:bCs w:val="0"/>
          <w:snapToGrid w:val="0"/>
          <w:color w:val="000000"/>
          <w:spacing w:val="-15"/>
          <w:kern w:val="0"/>
          <w:sz w:val="32"/>
          <w:szCs w:val="32"/>
          <w:lang w:eastAsia="en-US"/>
        </w:rPr>
        <w:t>年底前完成年度绩效目标。</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21FE47B0">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jc w:val="both"/>
        <w:textAlignment w:val="baseline"/>
        <w:outlineLvl w:val="0"/>
        <w:rPr>
          <w:rFonts w:ascii="黑体" w:hAnsi="黑体" w:eastAsia="黑体" w:cs="黑体"/>
          <w:b/>
          <w:bCs/>
          <w:spacing w:val="-15"/>
          <w:sz w:val="31"/>
          <w:szCs w:val="31"/>
        </w:rPr>
      </w:pPr>
      <w:r>
        <w:rPr>
          <w:rFonts w:hint="eastAsia" w:ascii="仿宋_GB2312" w:hAnsi="仿宋_GB2312" w:eastAsia="仿宋_GB2312" w:cs="仿宋_GB2312"/>
          <w:b w:val="0"/>
          <w:bCs w:val="0"/>
          <w:spacing w:val="-15"/>
          <w:sz w:val="32"/>
          <w:szCs w:val="32"/>
        </w:rPr>
        <w:t>202</w:t>
      </w:r>
      <w:r>
        <w:rPr>
          <w:rFonts w:hint="eastAsia" w:ascii="仿宋_GB2312" w:hAnsi="仿宋_GB2312" w:eastAsia="仿宋_GB2312" w:cs="仿宋_GB2312"/>
          <w:b w:val="0"/>
          <w:bCs w:val="0"/>
          <w:spacing w:val="-15"/>
          <w:sz w:val="32"/>
          <w:szCs w:val="32"/>
          <w:lang w:val="en-US" w:eastAsia="zh-CN"/>
        </w:rPr>
        <w:t>3</w:t>
      </w:r>
      <w:r>
        <w:rPr>
          <w:rFonts w:hint="eastAsia" w:ascii="仿宋_GB2312" w:hAnsi="仿宋_GB2312" w:eastAsia="仿宋_GB2312" w:cs="仿宋_GB2312"/>
          <w:b w:val="0"/>
          <w:bCs w:val="0"/>
          <w:spacing w:val="-15"/>
          <w:sz w:val="32"/>
          <w:szCs w:val="32"/>
        </w:rPr>
        <w:t>年，我中心项目根据市委市政府以及老干部工作领导小组会议的安排开展。程序规范有序，各项目执行情况较好，能够按照制定的计划完成，预期绩效目标也基本实现，在经济效益和社会效益等方面都取得了明显成效，同时各项目的运行均按相关规章制度执行。</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4ED5577">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jc w:val="both"/>
        <w:textAlignment w:val="baseline"/>
        <w:outlineLvl w:val="0"/>
        <w:rPr>
          <w:rFonts w:hint="eastAsia" w:ascii="仿宋_GB2312" w:hAnsi="仿宋_GB2312" w:eastAsia="仿宋_GB2312" w:cs="仿宋_GB2312"/>
          <w:b w:val="0"/>
          <w:bCs w:val="0"/>
          <w:spacing w:val="-15"/>
          <w:sz w:val="32"/>
          <w:szCs w:val="32"/>
        </w:rPr>
      </w:pPr>
      <w:r>
        <w:rPr>
          <w:rFonts w:hint="eastAsia" w:ascii="仿宋_GB2312" w:hAnsi="仿宋_GB2312" w:eastAsia="仿宋_GB2312" w:cs="仿宋_GB2312"/>
          <w:b w:val="0"/>
          <w:bCs w:val="0"/>
          <w:spacing w:val="-15"/>
          <w:sz w:val="32"/>
          <w:szCs w:val="32"/>
        </w:rPr>
        <w:t>202</w:t>
      </w:r>
      <w:r>
        <w:rPr>
          <w:rFonts w:hint="eastAsia" w:ascii="仿宋_GB2312" w:hAnsi="仿宋_GB2312" w:eastAsia="仿宋_GB2312" w:cs="仿宋_GB2312"/>
          <w:b w:val="0"/>
          <w:bCs w:val="0"/>
          <w:spacing w:val="-15"/>
          <w:sz w:val="32"/>
          <w:szCs w:val="32"/>
          <w:lang w:val="en-US" w:eastAsia="zh-CN"/>
        </w:rPr>
        <w:t>3</w:t>
      </w:r>
      <w:r>
        <w:rPr>
          <w:rFonts w:hint="eastAsia" w:ascii="仿宋_GB2312" w:hAnsi="仿宋_GB2312" w:eastAsia="仿宋_GB2312" w:cs="仿宋_GB2312"/>
          <w:b w:val="0"/>
          <w:bCs w:val="0"/>
          <w:spacing w:val="-15"/>
          <w:sz w:val="32"/>
          <w:szCs w:val="32"/>
        </w:rPr>
        <w:t>年我单位项目资金严格按照财务管理规定执行，使用科目合理，程序合法，确保了项目的顺利完成，圆满地完成了各个专项任务。</w:t>
      </w:r>
    </w:p>
    <w:p w14:paraId="2B456FAA">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outlineLvl w:val="0"/>
        <w:rPr>
          <w:rFonts w:ascii="黑体" w:hAnsi="黑体" w:eastAsia="黑体" w:cs="黑体"/>
          <w:b/>
          <w:bCs/>
          <w:spacing w:val="-15"/>
          <w:sz w:val="31"/>
          <w:szCs w:val="31"/>
        </w:rPr>
      </w:pPr>
      <w:r>
        <w:rPr>
          <w:rFonts w:hint="eastAsia" w:ascii="仿宋_GB2312" w:hAnsi="仿宋_GB2312" w:eastAsia="仿宋_GB2312" w:cs="仿宋_GB2312"/>
          <w:b w:val="0"/>
          <w:bCs w:val="0"/>
          <w:spacing w:val="-15"/>
          <w:sz w:val="32"/>
          <w:szCs w:val="32"/>
        </w:rPr>
        <w:t>本次绩效自评，我单位深入基层调查研究，倾听群众意见，对我中心服务态度、服务质量、服务成果等各方面均给予了满意的评价。综合本单位专项资金使用情况，202</w:t>
      </w:r>
      <w:r>
        <w:rPr>
          <w:rFonts w:hint="eastAsia" w:ascii="仿宋_GB2312" w:hAnsi="仿宋_GB2312" w:eastAsia="仿宋_GB2312" w:cs="仿宋_GB2312"/>
          <w:b w:val="0"/>
          <w:bCs w:val="0"/>
          <w:spacing w:val="-15"/>
          <w:sz w:val="32"/>
          <w:szCs w:val="32"/>
          <w:lang w:val="en-US" w:eastAsia="zh-CN"/>
        </w:rPr>
        <w:t>3</w:t>
      </w:r>
      <w:r>
        <w:rPr>
          <w:rFonts w:hint="eastAsia" w:ascii="仿宋_GB2312" w:hAnsi="仿宋_GB2312" w:eastAsia="仿宋_GB2312" w:cs="仿宋_GB2312"/>
          <w:b w:val="0"/>
          <w:bCs w:val="0"/>
          <w:spacing w:val="-15"/>
          <w:sz w:val="32"/>
          <w:szCs w:val="32"/>
        </w:rPr>
        <w:t>年度专项绩效评价得分为</w:t>
      </w:r>
      <w:r>
        <w:rPr>
          <w:rFonts w:hint="eastAsia" w:ascii="仿宋_GB2312" w:hAnsi="仿宋_GB2312" w:eastAsia="仿宋_GB2312" w:cs="仿宋_GB2312"/>
          <w:b w:val="0"/>
          <w:bCs w:val="0"/>
          <w:spacing w:val="-15"/>
          <w:sz w:val="32"/>
          <w:szCs w:val="32"/>
          <w:lang w:val="en-US" w:eastAsia="zh-CN"/>
        </w:rPr>
        <w:t>97</w:t>
      </w:r>
      <w:r>
        <w:rPr>
          <w:rFonts w:hint="eastAsia" w:ascii="仿宋_GB2312" w:hAnsi="仿宋_GB2312" w:eastAsia="仿宋_GB2312" w:cs="仿宋_GB2312"/>
          <w:b w:val="0"/>
          <w:bCs w:val="0"/>
          <w:spacing w:val="-15"/>
          <w:sz w:val="32"/>
          <w:szCs w:val="32"/>
        </w:rPr>
        <w:t>分。</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48014B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此项目决策立项目标合理，项目立项依据充分、规范，老干部政治待遇和盛会待遇按文件要求全部落实到位，管理服务对象满意，广泛宣传老干部政策，尊老敬老爱老活动开展有声有色，老年人满意度高，社会反响良好。</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68FF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1、健全组织机构、分工明确，责任到人，提高了办事效率，确保了项目质量。</w:t>
      </w:r>
    </w:p>
    <w:p w14:paraId="096587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 制定项目实施方案，确保工作按流程进行，做到了有条不素</w:t>
      </w:r>
    </w:p>
    <w:p w14:paraId="3408B4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3、项目资金审核符合流程，会计核算规范，严格按照专项资金管理办法进行财务处理，确保资金使用效率。</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42DAD7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各项工作合法合规，在202</w:t>
      </w:r>
      <w:r>
        <w:rPr>
          <w:rFonts w:hint="eastAsia" w:eastAsia="仿宋_GB2312"/>
          <w:kern w:val="0"/>
          <w:sz w:val="32"/>
          <w:szCs w:val="32"/>
          <w:lang w:val="en-US" w:eastAsia="zh-CN"/>
        </w:rPr>
        <w:t>3</w:t>
      </w:r>
      <w:r>
        <w:rPr>
          <w:rFonts w:hint="eastAsia" w:eastAsia="仿宋_GB2312"/>
          <w:kern w:val="0"/>
          <w:sz w:val="32"/>
          <w:szCs w:val="32"/>
          <w:lang w:eastAsia="zh-CN"/>
        </w:rPr>
        <w:t>年年底全部完成，无老干部信访事件发生。</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2E614F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仿宋_GB2312" w:hAnsi="仿宋_GB2312" w:eastAsia="仿宋_GB2312" w:cs="仿宋_GB2312"/>
          <w:kern w:val="0"/>
          <w:sz w:val="32"/>
          <w:szCs w:val="32"/>
          <w:lang w:eastAsia="zh-CN"/>
        </w:rPr>
        <w:t>通过项目工作的开展，使让广大老年人感受到老有所乐、老有所学、老有所安，离休干部和退休县处级干部满意度均达到98%以上，社会满意度也达到98%以上，社会反响良好。</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531C7E7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主要经验及做法：</w:t>
      </w:r>
    </w:p>
    <w:p w14:paraId="15AE892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1、明确项目的使用方向。项目选择以市委市政府中心工作和老干部工作领导小组会议为依据，从服务老干部要求出发，体现“以人为本、民生为重”的理念。</w:t>
      </w:r>
    </w:p>
    <w:p w14:paraId="08B686C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2、做好项目筛选和论证工作。一是征集项目建议。二是组织调查研究相关建议。三是组织各业务股室编制申报项目。</w:t>
      </w:r>
    </w:p>
    <w:p w14:paraId="229D1DE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3、做好项目实施的跟踪检查工作。确保项目实施工作进展顺利，实现预期绩效目标。</w:t>
      </w:r>
    </w:p>
    <w:p w14:paraId="65941A4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存在的问题：</w:t>
      </w:r>
    </w:p>
    <w:p w14:paraId="59EAAC8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2023年，我单位虽然在财政资金使用管理工作中取得了一些成效，但也还存在一些问题和不足，比如资金不足、人员不足，对于绩效评价的认识不够深等情况，这些都一定程度制约着我办各项工作的有序开展。</w:t>
      </w:r>
    </w:p>
    <w:p w14:paraId="4C024C3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今后的工作中，我单位将进一步加强绩效评价管理制度和流程的建设，进一步深化绩效管理体系，建立更加完善的预算绩效管理机制，促进绩效管理工作向广度和深度延伸，进一步加强财政资金管理，节约行政成本，确保国有资金使用规范、有序、到位，最大限度提高资金的使用效率。</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1CEB19AB">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textAlignment w:val="baseline"/>
        <w:outlineLvl w:val="0"/>
        <w:rPr>
          <w:rFonts w:ascii="黑体" w:hAnsi="黑体" w:eastAsia="黑体" w:cs="黑体"/>
          <w:b/>
          <w:bCs/>
          <w:spacing w:val="-15"/>
          <w:sz w:val="31"/>
          <w:szCs w:val="31"/>
        </w:rPr>
      </w:pPr>
      <w:r>
        <w:rPr>
          <w:rFonts w:hint="eastAsia" w:ascii="仿宋_GB2312" w:hAnsi="仿宋_GB2312" w:eastAsia="仿宋_GB2312" w:cs="仿宋_GB2312"/>
          <w:b w:val="0"/>
          <w:bCs w:val="0"/>
          <w:spacing w:val="-15"/>
          <w:sz w:val="32"/>
          <w:szCs w:val="32"/>
        </w:rPr>
        <w:t>由于我单位专项都基于单位工作职能而设定，属于延续专项，建议财政在下一年度预算中继续予以安排。</w:t>
      </w:r>
    </w:p>
    <w:p w14:paraId="04F3020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25510DB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bCs/>
          <w:spacing w:val="-15"/>
          <w:sz w:val="31"/>
          <w:szCs w:val="31"/>
          <w:lang w:val="en-US" w:eastAsia="zh-CN"/>
        </w:rPr>
      </w:pPr>
      <w:r>
        <w:rPr>
          <w:rFonts w:hint="eastAsia" w:ascii="仿宋_GB2312" w:hAnsi="仿宋_GB2312" w:eastAsia="仿宋_GB2312" w:cs="仿宋_GB2312"/>
          <w:b w:val="0"/>
          <w:bCs w:val="0"/>
          <w:snapToGrid w:val="0"/>
          <w:color w:val="000000"/>
          <w:spacing w:val="-15"/>
          <w:kern w:val="0"/>
          <w:sz w:val="31"/>
          <w:szCs w:val="31"/>
          <w:lang w:val="en-US" w:eastAsia="zh-CN"/>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wNzg0NGQ0ZDc4MzE2YWFmOWI3ZjAzNzdhM2ViN2QifQ=="/>
  </w:docVars>
  <w:rsids>
    <w:rsidRoot w:val="00000000"/>
    <w:rsid w:val="01AF3811"/>
    <w:rsid w:val="03795BF7"/>
    <w:rsid w:val="086E756B"/>
    <w:rsid w:val="09386363"/>
    <w:rsid w:val="0ACF37E5"/>
    <w:rsid w:val="0B400BC6"/>
    <w:rsid w:val="0E68228D"/>
    <w:rsid w:val="0EA6787F"/>
    <w:rsid w:val="15276E52"/>
    <w:rsid w:val="19D32FBC"/>
    <w:rsid w:val="1DD07598"/>
    <w:rsid w:val="1E6A4395"/>
    <w:rsid w:val="2101103D"/>
    <w:rsid w:val="25557A3D"/>
    <w:rsid w:val="26EA5ED7"/>
    <w:rsid w:val="27A93B82"/>
    <w:rsid w:val="2AE00186"/>
    <w:rsid w:val="2C701C77"/>
    <w:rsid w:val="301C6D1E"/>
    <w:rsid w:val="308216BE"/>
    <w:rsid w:val="34FE1149"/>
    <w:rsid w:val="3A550786"/>
    <w:rsid w:val="3A6C702C"/>
    <w:rsid w:val="3B7A130F"/>
    <w:rsid w:val="3CE94C9A"/>
    <w:rsid w:val="45E43797"/>
    <w:rsid w:val="494A1329"/>
    <w:rsid w:val="4F8B6063"/>
    <w:rsid w:val="52FA3F96"/>
    <w:rsid w:val="55850F17"/>
    <w:rsid w:val="57AE6D93"/>
    <w:rsid w:val="58D818BE"/>
    <w:rsid w:val="59780479"/>
    <w:rsid w:val="59DF4215"/>
    <w:rsid w:val="5FB623A7"/>
    <w:rsid w:val="62744AF3"/>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6626</Words>
  <Characters>7170</Characters>
  <TotalTime>6</TotalTime>
  <ScaleCrop>false</ScaleCrop>
  <LinksUpToDate>false</LinksUpToDate>
  <CharactersWithSpaces>7331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江映月</cp:lastModifiedBy>
  <cp:lastPrinted>2024-05-21T14:05:00Z</cp:lastPrinted>
  <dcterms:modified xsi:type="dcterms:W3CDTF">2024-10-18T03:08:09Z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66E87CC2C1BD4EA79F50DFC67025F32C_13</vt:lpwstr>
  </property>
</Properties>
</file>