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11"/>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eastAsia="仿宋_GB2312"/>
                <w:kern w:val="0"/>
                <w:lang w:val="en-US" w:eastAsia="zh-CN"/>
              </w:rPr>
              <w:t>9.45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highlight w:val="yellow"/>
                <w:lang w:val="en-US" w:eastAsia="zh-CN"/>
              </w:rPr>
            </w:pPr>
          </w:p>
        </w:tc>
        <w:tc>
          <w:tcPr>
            <w:tcW w:w="2039" w:type="dxa"/>
            <w:gridSpan w:val="2"/>
            <w:vAlign w:val="center"/>
          </w:tcPr>
          <w:p>
            <w:pPr>
              <w:spacing w:line="240" w:lineRule="auto"/>
              <w:ind w:firstLine="420"/>
              <w:jc w:val="center"/>
              <w:rPr>
                <w:rFonts w:hint="default" w:ascii="仿宋_GB2312" w:eastAsia="仿宋_GB2312"/>
                <w:kern w:val="0"/>
                <w:highlight w:val="yellow"/>
                <w:lang w:val="en-US" w:eastAsia="zh-CN"/>
              </w:rPr>
            </w:pPr>
            <w:r>
              <w:rPr>
                <w:rFonts w:hint="eastAsia" w:ascii="仿宋_GB2312" w:eastAsia="仿宋_GB2312"/>
                <w:kern w:val="0"/>
                <w:highlight w:val="none"/>
                <w:lang w:val="en-US" w:eastAsia="zh-CN"/>
              </w:rPr>
              <w:t>893</w:t>
            </w:r>
          </w:p>
        </w:tc>
        <w:tc>
          <w:tcPr>
            <w:tcW w:w="1983" w:type="dxa"/>
            <w:gridSpan w:val="2"/>
            <w:vAlign w:val="center"/>
          </w:tcPr>
          <w:p>
            <w:pPr>
              <w:spacing w:line="240" w:lineRule="auto"/>
              <w:ind w:firstLine="420"/>
              <w:jc w:val="center"/>
              <w:rPr>
                <w:rFonts w:hint="default" w:ascii="仿宋_GB2312" w:eastAsia="仿宋_GB2312"/>
                <w:kern w:val="0"/>
                <w:highlight w:val="yellow"/>
                <w:lang w:val="en-US" w:eastAsia="zh-CN"/>
              </w:rPr>
            </w:pPr>
            <w:r>
              <w:rPr>
                <w:rFonts w:hint="eastAsia" w:ascii="仿宋_GB2312" w:eastAsia="仿宋_GB2312"/>
                <w:kern w:val="0"/>
                <w:highlight w:val="none"/>
                <w:lang w:val="en-US" w:eastAsia="zh-CN"/>
              </w:rPr>
              <w:t>31155.33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jc w:val="both"/>
              <w:rPr>
                <w:rFonts w:hint="eastAsia"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农村户村厕所改建和污水治理</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粮食生产扶持资金</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296.57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387.68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28.86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39.63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19.98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23.52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2188.5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2555.86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2457.01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ascii="仿宋_GB2312" w:hAnsi="宋体" w:eastAsia="仿宋_GB2312" w:cs="宋体"/>
                <w:lang w:eastAsia="zh-CN"/>
              </w:rPr>
              <w:t>落实八项规定，厉行勤俭节约，严格控制各项费用支出</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5" w:type="default"/>
          <w:footerReference r:id="rId6"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2023年4月20日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胡亚运</w:t>
      </w: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tbl>
      <w:tblPr>
        <w:tblStyle w:val="11"/>
        <w:tblpPr w:leftFromText="180" w:rightFromText="180" w:vertAnchor="text" w:horzAnchor="page" w:tblpX="803" w:tblpY="67"/>
        <w:tblOverlap w:val="never"/>
        <w:tblW w:w="10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431"/>
        <w:gridCol w:w="723"/>
        <w:gridCol w:w="683"/>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87"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43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72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8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505"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3448.86</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33612.33</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33612.33</w:t>
            </w:r>
          </w:p>
        </w:tc>
        <w:tc>
          <w:tcPr>
            <w:tcW w:w="723"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683"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505"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342"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33612</w:t>
            </w:r>
          </w:p>
        </w:tc>
        <w:tc>
          <w:tcPr>
            <w:tcW w:w="4342"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342"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31155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342"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342"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342"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1：</w:t>
            </w:r>
            <w:r>
              <w:rPr>
                <w:rFonts w:hint="eastAsia" w:ascii="仿宋_GB2312" w:eastAsia="仿宋_GB2312"/>
                <w:kern w:val="0"/>
              </w:rPr>
              <w:t>夯实产业发展基础，促进农业提质增效，稳固主导产业。</w:t>
            </w:r>
          </w:p>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2：</w:t>
            </w:r>
            <w:r>
              <w:rPr>
                <w:rFonts w:hint="eastAsia" w:ascii="仿宋_GB2312" w:eastAsia="仿宋_GB2312"/>
                <w:kern w:val="0"/>
              </w:rPr>
              <w:t>深化农业农村改革，激发乡村发展活力。全面推进宅基地改革</w:t>
            </w:r>
            <w:r>
              <w:rPr>
                <w:rFonts w:hint="eastAsia" w:ascii="仿宋_GB2312" w:eastAsia="仿宋_GB2312"/>
                <w:kern w:val="0"/>
                <w:lang w:val="en-US" w:eastAsia="zh-CN"/>
              </w:rPr>
              <w:t>:。</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目标</w:t>
            </w:r>
            <w:r>
              <w:rPr>
                <w:rFonts w:hint="eastAsia" w:ascii="仿宋_GB2312" w:eastAsia="仿宋_GB2312"/>
                <w:kern w:val="0"/>
              </w:rPr>
              <w:t>3</w:t>
            </w:r>
            <w:r>
              <w:rPr>
                <w:rFonts w:hint="eastAsia" w:ascii="仿宋_GB2312" w:eastAsia="仿宋_GB2312"/>
                <w:kern w:val="0"/>
                <w:lang w:eastAsia="zh-CN"/>
              </w:rPr>
              <w:t>：</w:t>
            </w:r>
            <w:r>
              <w:rPr>
                <w:rFonts w:hint="eastAsia" w:ascii="仿宋_GB2312" w:eastAsia="仿宋_GB2312"/>
                <w:kern w:val="0"/>
              </w:rPr>
              <w:t>提升农村人居环境，建设宜居美丽乡村</w:t>
            </w:r>
            <w:r>
              <w:rPr>
                <w:rFonts w:hint="eastAsia" w:ascii="仿宋_GB2312" w:eastAsia="仿宋_GB2312"/>
                <w:kern w:val="0"/>
                <w:lang w:eastAsia="zh-CN"/>
              </w:rPr>
              <w:t>。</w:t>
            </w:r>
          </w:p>
          <w:p>
            <w:pPr>
              <w:spacing w:line="240" w:lineRule="auto"/>
              <w:jc w:val="both"/>
              <w:rPr>
                <w:rFonts w:hint="eastAsia" w:ascii="仿宋_GB2312" w:eastAsia="仿宋_GB2312"/>
                <w:kern w:val="0"/>
                <w:lang w:eastAsia="zh-CN"/>
              </w:rPr>
            </w:pPr>
            <w:r>
              <w:rPr>
                <w:rFonts w:hint="eastAsia" w:ascii="仿宋_GB2312" w:eastAsia="仿宋_GB2312"/>
                <w:kern w:val="0"/>
                <w:lang w:eastAsia="zh-CN"/>
              </w:rPr>
              <w:t>目标</w:t>
            </w:r>
            <w:r>
              <w:rPr>
                <w:rFonts w:hint="eastAsia" w:ascii="仿宋_GB2312" w:eastAsia="仿宋_GB2312"/>
                <w:kern w:val="0"/>
                <w:lang w:val="en-US" w:eastAsia="zh-CN"/>
              </w:rPr>
              <w:t>4：</w:t>
            </w:r>
            <w:r>
              <w:rPr>
                <w:rFonts w:hint="eastAsia" w:ascii="仿宋_GB2312" w:eastAsia="仿宋_GB2312"/>
                <w:kern w:val="0"/>
              </w:rPr>
              <w:t>守护安全底线，严控农业发展风险</w:t>
            </w:r>
            <w:r>
              <w:rPr>
                <w:rFonts w:hint="eastAsia" w:ascii="仿宋_GB2312" w:eastAsia="仿宋_GB2312"/>
                <w:kern w:val="0"/>
                <w:lang w:eastAsia="zh-CN"/>
              </w:rPr>
              <w:t>。</w:t>
            </w:r>
          </w:p>
          <w:p>
            <w:pPr>
              <w:spacing w:line="240" w:lineRule="auto"/>
              <w:jc w:val="both"/>
              <w:rPr>
                <w:rFonts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5</w:t>
            </w:r>
            <w:r>
              <w:rPr>
                <w:rFonts w:hint="eastAsia" w:ascii="仿宋_GB2312" w:eastAsia="仿宋_GB2312"/>
                <w:kern w:val="0"/>
                <w:lang w:eastAsia="zh-CN"/>
              </w:rPr>
              <w:t>：</w:t>
            </w:r>
            <w:r>
              <w:rPr>
                <w:rFonts w:hint="eastAsia" w:ascii="仿宋_GB2312" w:eastAsia="仿宋_GB2312"/>
                <w:kern w:val="0"/>
              </w:rPr>
              <w:t>强化培训学习，打造乡村振兴队伍</w:t>
            </w:r>
            <w:r>
              <w:rPr>
                <w:rFonts w:hint="eastAsia" w:ascii="仿宋_GB2312" w:eastAsia="仿宋_GB2312"/>
                <w:kern w:val="0"/>
                <w:lang w:eastAsia="zh-CN"/>
              </w:rPr>
              <w:t>。</w:t>
            </w:r>
            <w:r>
              <w:rPr>
                <w:rFonts w:hint="eastAsia" w:ascii="仿宋_GB2312" w:eastAsia="仿宋_GB2312"/>
                <w:kern w:val="0"/>
              </w:rPr>
              <w:t>　　　　　　　　　　　　　　　　　　　　　　　　　　　　　　　　　　　　　　　　　　　　　　　　　　　　　　　　　　　　　　　　　　　　　　　　　　　　　　　　　　　　　　　　　　　　　　　　　　　　　　</w:t>
            </w:r>
          </w:p>
        </w:tc>
        <w:tc>
          <w:tcPr>
            <w:tcW w:w="4342" w:type="dxa"/>
            <w:gridSpan w:val="4"/>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1：夯实了产业发展基础，稳固了主导产业</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目标2：深化了农业农村改革，全面推进了宅基地改革</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目标3：提升了农村人居环境，逐步尽力宜居美丽乡村。</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目标4：守护了安全底线，严控农业发展风险</w:t>
            </w:r>
          </w:p>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目标6：强化了培训学习，打造了乡村振兴队伍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43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72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8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505"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ind w:firstLine="420"/>
              <w:jc w:val="center"/>
              <w:rPr>
                <w:rFonts w:ascii="仿宋_GB2312" w:eastAsia="仿宋_GB2312"/>
                <w:kern w:val="0"/>
              </w:rPr>
            </w:pPr>
          </w:p>
        </w:tc>
        <w:tc>
          <w:tcPr>
            <w:tcW w:w="1029" w:type="dxa"/>
            <w:vMerge w:val="restart"/>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p>
            <w:pPr>
              <w:spacing w:line="240" w:lineRule="auto"/>
              <w:jc w:val="center"/>
              <w:rPr>
                <w:rFonts w:hint="eastAsia" w:ascii="仿宋_GB2312" w:hAnsi="宋体" w:eastAsia="仿宋_GB2312" w:cs="宋体"/>
                <w:kern w:val="0"/>
                <w:lang w:eastAsia="zh-CN"/>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压实粮食生产责任，稳定发展粮食生产面积</w:t>
            </w:r>
          </w:p>
        </w:tc>
        <w:tc>
          <w:tcPr>
            <w:tcW w:w="1298" w:type="dxa"/>
            <w:vAlign w:val="center"/>
          </w:tcPr>
          <w:p>
            <w:pPr>
              <w:spacing w:line="240" w:lineRule="auto"/>
              <w:jc w:val="center"/>
              <w:rPr>
                <w:rFonts w:hint="eastAsia" w:ascii="仿宋_GB2312" w:eastAsia="仿宋_GB2312"/>
                <w:kern w:val="0"/>
              </w:rPr>
            </w:pPr>
            <w:r>
              <w:rPr>
                <w:rFonts w:hint="eastAsia" w:ascii="仿宋_GB2312" w:eastAsia="仿宋_GB2312"/>
                <w:kern w:val="0"/>
              </w:rPr>
              <w:t>1、早稻面积</w:t>
            </w:r>
            <w:r>
              <w:rPr>
                <w:rFonts w:hint="eastAsia" w:ascii="仿宋_GB2312" w:eastAsia="仿宋_GB2312"/>
                <w:kern w:val="0"/>
                <w:lang w:val="en-US" w:eastAsia="zh-CN"/>
              </w:rPr>
              <w:t>35</w:t>
            </w:r>
            <w:r>
              <w:rPr>
                <w:rFonts w:hint="eastAsia" w:ascii="仿宋_GB2312" w:eastAsia="仿宋_GB2312"/>
                <w:kern w:val="0"/>
              </w:rPr>
              <w:t xml:space="preserve">万亩               </w:t>
            </w:r>
            <w:r>
              <w:rPr>
                <w:rFonts w:hint="eastAsia" w:ascii="仿宋_GB2312" w:eastAsia="仿宋_GB2312"/>
                <w:kern w:val="0"/>
                <w:lang w:val="en-US" w:eastAsia="zh-CN"/>
              </w:rPr>
              <w:t>2</w:t>
            </w:r>
            <w:r>
              <w:rPr>
                <w:rFonts w:hint="eastAsia" w:ascii="仿宋_GB2312" w:eastAsia="仿宋_GB2312"/>
                <w:kern w:val="0"/>
              </w:rPr>
              <w:t>、晚冬种面积28万亩</w:t>
            </w:r>
          </w:p>
        </w:tc>
        <w:tc>
          <w:tcPr>
            <w:tcW w:w="1431"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1、早稻面积35.06万亩              2、晚冬种面积36万亩</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完善农田基础设施，建设高标准农田面积</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4.8万亩</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4.9万亩</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稳定发展生猪生产，延伸生猪产业出栏头数</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70万头</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75万头</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开展农药化肥减量实施面积</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8.5万亩</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8.8万亩</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bottom w:val="nil"/>
            </w:tcBorders>
            <w:vAlign w:val="center"/>
          </w:tcPr>
          <w:p>
            <w:pPr>
              <w:spacing w:line="240" w:lineRule="auto"/>
              <w:jc w:val="center"/>
              <w:rPr>
                <w:rFonts w:hint="eastAsia" w:ascii="仿宋_GB2312" w:hAnsi="宋体" w:eastAsia="仿宋_GB2312" w:cs="宋体"/>
                <w:kern w:val="0"/>
                <w:lang w:eastAsia="zh-CN"/>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强化龙头企业带动作用，重点培植省级龙头企业个数</w:t>
            </w:r>
          </w:p>
        </w:tc>
        <w:tc>
          <w:tcPr>
            <w:tcW w:w="1298"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5家</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5家</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p>
            <w:pPr>
              <w:spacing w:line="240" w:lineRule="auto"/>
              <w:jc w:val="center"/>
              <w:rPr>
                <w:rFonts w:ascii="仿宋_GB2312" w:eastAsia="仿宋_GB2312"/>
                <w:kern w:val="0"/>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落实受污染耕地安全利用，受污染耕地安全利用率</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rPr>
              <w:t>≥</w:t>
            </w:r>
            <w:r>
              <w:rPr>
                <w:rFonts w:hint="eastAsia" w:ascii="仿宋_GB2312" w:eastAsia="仿宋_GB2312"/>
                <w:kern w:val="0"/>
                <w:lang w:val="en-US" w:eastAsia="zh-CN"/>
              </w:rPr>
              <w:t>90%</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91%</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249" w:type="dxa"/>
            <w:vAlign w:val="center"/>
          </w:tcPr>
          <w:p>
            <w:pPr>
              <w:spacing w:line="240" w:lineRule="auto"/>
              <w:jc w:val="both"/>
              <w:rPr>
                <w:rFonts w:hint="eastAsia" w:ascii="仿宋_GB2312" w:eastAsia="仿宋_GB2312"/>
                <w:kern w:val="0"/>
              </w:rPr>
            </w:pPr>
            <w:r>
              <w:rPr>
                <w:rFonts w:hint="eastAsia" w:ascii="仿宋_GB2312" w:hAnsi="宋体" w:eastAsia="仿宋_GB2312" w:cs="宋体"/>
                <w:kern w:val="0"/>
                <w:lang w:eastAsia="zh-CN"/>
              </w:rPr>
              <w:t>落实行业安全监管，保证农产品质量安全，抽检合格率</w:t>
            </w:r>
          </w:p>
        </w:tc>
        <w:tc>
          <w:tcPr>
            <w:tcW w:w="1298"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rPr>
              <w:t>≥</w:t>
            </w:r>
            <w:r>
              <w:rPr>
                <w:rFonts w:hint="eastAsia" w:ascii="仿宋_GB2312" w:eastAsia="仿宋_GB2312"/>
                <w:kern w:val="0"/>
                <w:lang w:val="en-US" w:eastAsia="zh-CN"/>
              </w:rPr>
              <w:t>95%</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97.87%</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落实行业安全监管，查处农机违法行为</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35起</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38起</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实现肥料节本增收</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rPr>
              <w:t>≥</w:t>
            </w:r>
            <w:r>
              <w:rPr>
                <w:rFonts w:hint="eastAsia" w:ascii="仿宋_GB2312" w:eastAsia="仿宋_GB2312"/>
                <w:kern w:val="0"/>
                <w:lang w:val="en-US" w:eastAsia="zh-CN"/>
              </w:rPr>
              <w:t>5%</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bottom w:val="nil"/>
            </w:tcBorders>
            <w:vAlign w:val="center"/>
          </w:tcPr>
          <w:p>
            <w:pPr>
              <w:spacing w:line="240" w:lineRule="auto"/>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合法合规，确保各项工作顺利开展</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100%完成</w:t>
            </w:r>
          </w:p>
        </w:tc>
        <w:tc>
          <w:tcPr>
            <w:tcW w:w="1431"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100%完成</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各项工作完成及时率</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31"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确保资金合法安全，有利于维护社会和谐稳定</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100%完成</w:t>
            </w:r>
          </w:p>
        </w:tc>
        <w:tc>
          <w:tcPr>
            <w:tcW w:w="1431"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100%完成</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固本强基，培育特色，进一步推动农业提质，农民富裕、农村繁荣</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431"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提升农村人居环境，建设宜居美丽乡村</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100%完成</w:t>
            </w:r>
          </w:p>
        </w:tc>
        <w:tc>
          <w:tcPr>
            <w:tcW w:w="1431"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100%完成</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对农业发展有效促进</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持续</w:t>
            </w:r>
          </w:p>
        </w:tc>
        <w:tc>
          <w:tcPr>
            <w:tcW w:w="1431"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持续</w:t>
            </w:r>
          </w:p>
        </w:tc>
        <w:tc>
          <w:tcPr>
            <w:tcW w:w="723"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683"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全年农业农村工作力争让社会公众或服务对象满意。</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43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96</w:t>
            </w:r>
            <w:r>
              <w:rPr>
                <w:rFonts w:hint="eastAsia" w:ascii="仿宋_GB2312" w:eastAsia="仿宋_GB2312"/>
                <w:kern w:val="0"/>
              </w:rPr>
              <w:t>%</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000000" w:sz="4" w:space="0"/>
              <w:bottom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vMerge w:val="restart"/>
            <w:tcBorders>
              <w:top w:val="single" w:color="000000" w:sz="4" w:space="0"/>
            </w:tcBorders>
            <w:vAlign w:val="center"/>
          </w:tcPr>
          <w:p>
            <w:pPr>
              <w:spacing w:line="240" w:lineRule="auto"/>
              <w:jc w:val="center"/>
              <w:rPr>
                <w:rFonts w:hint="eastAsia" w:ascii="仿宋_GB2312" w:eastAsia="仿宋_GB2312"/>
                <w:kern w:val="0"/>
                <w:highlight w:val="none"/>
                <w:lang w:eastAsia="zh-CN"/>
              </w:rPr>
            </w:pPr>
            <w:r>
              <w:rPr>
                <w:rFonts w:hint="eastAsia" w:ascii="仿宋_GB2312" w:eastAsia="仿宋_GB2312"/>
                <w:kern w:val="0"/>
                <w:highlight w:val="none"/>
                <w:lang w:eastAsia="zh-CN"/>
              </w:rPr>
              <w:t>经济成本指标</w:t>
            </w:r>
          </w:p>
        </w:tc>
        <w:tc>
          <w:tcPr>
            <w:tcW w:w="1249" w:type="dxa"/>
            <w:vAlign w:val="center"/>
          </w:tcPr>
          <w:p>
            <w:pPr>
              <w:spacing w:line="240" w:lineRule="auto"/>
              <w:jc w:val="both"/>
              <w:rPr>
                <w:rFonts w:hint="eastAsia" w:ascii="仿宋_GB2312" w:eastAsia="仿宋_GB2312"/>
                <w:kern w:val="0"/>
                <w:highlight w:val="none"/>
                <w:lang w:eastAsia="zh-CN"/>
              </w:rPr>
            </w:pPr>
            <w:r>
              <w:rPr>
                <w:rFonts w:hint="eastAsia" w:ascii="仿宋_GB2312" w:eastAsia="仿宋_GB2312"/>
                <w:kern w:val="0"/>
                <w:highlight w:val="none"/>
                <w:lang w:eastAsia="zh-CN"/>
              </w:rPr>
              <w:t>成本规范合格率</w:t>
            </w:r>
          </w:p>
        </w:tc>
        <w:tc>
          <w:tcPr>
            <w:tcW w:w="1298" w:type="dxa"/>
            <w:vAlign w:val="center"/>
          </w:tcPr>
          <w:p>
            <w:pPr>
              <w:spacing w:line="240" w:lineRule="auto"/>
              <w:jc w:val="center"/>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100%</w:t>
            </w:r>
          </w:p>
        </w:tc>
        <w:tc>
          <w:tcPr>
            <w:tcW w:w="1431" w:type="dxa"/>
            <w:vAlign w:val="center"/>
          </w:tcPr>
          <w:p>
            <w:pPr>
              <w:spacing w:line="240" w:lineRule="auto"/>
              <w:jc w:val="center"/>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100%</w:t>
            </w:r>
          </w:p>
        </w:tc>
        <w:tc>
          <w:tcPr>
            <w:tcW w:w="72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5</w:t>
            </w:r>
          </w:p>
        </w:tc>
        <w:tc>
          <w:tcPr>
            <w:tcW w:w="68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5</w:t>
            </w:r>
          </w:p>
        </w:tc>
        <w:tc>
          <w:tcPr>
            <w:tcW w:w="1505" w:type="dxa"/>
            <w:vAlign w:val="center"/>
          </w:tcPr>
          <w:p>
            <w:pPr>
              <w:spacing w:line="240" w:lineRule="auto"/>
              <w:jc w:val="both"/>
              <w:rPr>
                <w:rFonts w:hint="eastAsia" w:ascii="仿宋_GB2312" w:eastAsia="仿宋_GB2312"/>
                <w:kern w:val="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jc w:val="center"/>
              <w:rPr>
                <w:rFonts w:hint="eastAsia" w:ascii="仿宋_GB2312" w:eastAsia="仿宋_GB2312"/>
                <w:kern w:val="0"/>
                <w:lang w:val="en-US" w:eastAsia="zh-CN"/>
              </w:rPr>
            </w:pPr>
          </w:p>
        </w:tc>
        <w:tc>
          <w:tcPr>
            <w:tcW w:w="1029" w:type="dxa"/>
            <w:vMerge w:val="continue"/>
            <w:vAlign w:val="center"/>
          </w:tcPr>
          <w:p>
            <w:pPr>
              <w:spacing w:line="240" w:lineRule="auto"/>
              <w:jc w:val="center"/>
              <w:rPr>
                <w:rFonts w:hint="eastAsia" w:ascii="仿宋_GB2312" w:eastAsia="仿宋_GB2312"/>
                <w:kern w:val="0"/>
                <w:highlight w:val="none"/>
                <w:lang w:eastAsia="zh-CN"/>
              </w:rPr>
            </w:pPr>
          </w:p>
        </w:tc>
        <w:tc>
          <w:tcPr>
            <w:tcW w:w="1249" w:type="dxa"/>
            <w:vAlign w:val="center"/>
          </w:tcPr>
          <w:p>
            <w:pPr>
              <w:spacing w:line="240" w:lineRule="auto"/>
              <w:jc w:val="both"/>
              <w:rPr>
                <w:rFonts w:hint="eastAsia" w:ascii="仿宋_GB2312" w:eastAsia="仿宋_GB2312"/>
                <w:kern w:val="0"/>
                <w:highlight w:val="none"/>
                <w:lang w:eastAsia="zh-CN"/>
              </w:rPr>
            </w:pPr>
            <w:r>
              <w:rPr>
                <w:rFonts w:hint="eastAsia" w:ascii="仿宋_GB2312" w:eastAsia="仿宋_GB2312"/>
                <w:kern w:val="0"/>
                <w:highlight w:val="none"/>
                <w:lang w:eastAsia="zh-CN"/>
              </w:rPr>
              <w:t>基本支出</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2555.86万元</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2457.01万元</w:t>
            </w:r>
          </w:p>
        </w:tc>
        <w:tc>
          <w:tcPr>
            <w:tcW w:w="72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5</w:t>
            </w:r>
          </w:p>
        </w:tc>
        <w:tc>
          <w:tcPr>
            <w:tcW w:w="68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5</w:t>
            </w:r>
          </w:p>
        </w:tc>
        <w:tc>
          <w:tcPr>
            <w:tcW w:w="1505" w:type="dxa"/>
            <w:vMerge w:val="restart"/>
            <w:vAlign w:val="center"/>
          </w:tcPr>
          <w:p>
            <w:pPr>
              <w:spacing w:line="240" w:lineRule="auto"/>
              <w:jc w:val="both"/>
              <w:rPr>
                <w:rFonts w:hint="eastAsia" w:ascii="仿宋_GB2312" w:eastAsia="仿宋_GB2312"/>
                <w:kern w:val="0"/>
                <w:highlight w:val="none"/>
                <w:lang w:eastAsia="zh-CN"/>
              </w:rPr>
            </w:pPr>
            <w:r>
              <w:rPr>
                <w:rFonts w:hint="eastAsia" w:ascii="仿宋_GB2312" w:eastAsia="仿宋_GB2312"/>
                <w:kern w:val="0"/>
                <w:highlight w:val="none"/>
                <w:lang w:eastAsia="zh-CN"/>
              </w:rPr>
              <w:t>加大了向上争资力度，上级项目资金增加。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jc w:val="center"/>
              <w:rPr>
                <w:rFonts w:hint="eastAsia" w:ascii="仿宋_GB2312" w:eastAsia="仿宋_GB2312"/>
                <w:kern w:val="0"/>
                <w:lang w:val="en-US" w:eastAsia="zh-CN"/>
              </w:rPr>
            </w:pPr>
          </w:p>
        </w:tc>
        <w:tc>
          <w:tcPr>
            <w:tcW w:w="1029" w:type="dxa"/>
            <w:vMerge w:val="continue"/>
            <w:tcBorders>
              <w:bottom w:val="single" w:color="000000" w:sz="4" w:space="0"/>
            </w:tcBorders>
            <w:vAlign w:val="center"/>
          </w:tcPr>
          <w:p>
            <w:pPr>
              <w:spacing w:line="240" w:lineRule="auto"/>
              <w:jc w:val="center"/>
              <w:rPr>
                <w:rFonts w:hint="eastAsia" w:ascii="仿宋_GB2312" w:eastAsia="仿宋_GB2312"/>
                <w:kern w:val="0"/>
                <w:highlight w:val="none"/>
                <w:lang w:eastAsia="zh-CN"/>
              </w:rPr>
            </w:pPr>
          </w:p>
        </w:tc>
        <w:tc>
          <w:tcPr>
            <w:tcW w:w="1249" w:type="dxa"/>
            <w:vAlign w:val="center"/>
          </w:tcPr>
          <w:p>
            <w:pPr>
              <w:spacing w:line="240" w:lineRule="auto"/>
              <w:jc w:val="both"/>
              <w:rPr>
                <w:rFonts w:hint="eastAsia" w:ascii="仿宋_GB2312" w:eastAsia="仿宋_GB2312"/>
                <w:kern w:val="0"/>
                <w:highlight w:val="none"/>
                <w:lang w:eastAsia="zh-CN"/>
              </w:rPr>
            </w:pPr>
            <w:r>
              <w:rPr>
                <w:rFonts w:hint="eastAsia" w:ascii="仿宋_GB2312" w:eastAsia="仿宋_GB2312"/>
                <w:kern w:val="0"/>
                <w:highlight w:val="none"/>
                <w:lang w:eastAsia="zh-CN"/>
              </w:rPr>
              <w:t>项目支出</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893万元</w:t>
            </w:r>
          </w:p>
        </w:tc>
        <w:tc>
          <w:tcPr>
            <w:tcW w:w="143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31155.33万元</w:t>
            </w:r>
          </w:p>
        </w:tc>
        <w:tc>
          <w:tcPr>
            <w:tcW w:w="72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10</w:t>
            </w:r>
          </w:p>
        </w:tc>
        <w:tc>
          <w:tcPr>
            <w:tcW w:w="68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10</w:t>
            </w:r>
          </w:p>
        </w:tc>
        <w:tc>
          <w:tcPr>
            <w:tcW w:w="1505" w:type="dxa"/>
            <w:vMerge w:val="continue"/>
            <w:vAlign w:val="center"/>
          </w:tcPr>
          <w:p>
            <w:pPr>
              <w:spacing w:line="240" w:lineRule="auto"/>
              <w:jc w:val="both"/>
              <w:rPr>
                <w:rFonts w:hint="eastAsia" w:ascii="仿宋_GB2312" w:eastAsia="仿宋_GB2312"/>
                <w:kern w:val="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tcBorders>
            <w:vAlign w:val="center"/>
          </w:tcPr>
          <w:p>
            <w:pPr>
              <w:spacing w:line="240" w:lineRule="auto"/>
              <w:ind w:firstLine="420"/>
              <w:jc w:val="center"/>
              <w:rPr>
                <w:rFonts w:ascii="仿宋_GB2312" w:eastAsia="仿宋_GB2312"/>
                <w:kern w:val="0"/>
              </w:rPr>
            </w:pPr>
          </w:p>
        </w:tc>
        <w:tc>
          <w:tcPr>
            <w:tcW w:w="1029" w:type="dxa"/>
            <w:tcBorders>
              <w:top w:val="single" w:color="000000"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对社会发展造成的负面影响</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431"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723" w:type="dxa"/>
            <w:vAlign w:val="center"/>
          </w:tcPr>
          <w:p>
            <w:pPr>
              <w:spacing w:line="240" w:lineRule="auto"/>
              <w:ind w:firstLine="420"/>
              <w:jc w:val="both"/>
              <w:rPr>
                <w:rFonts w:hint="eastAsia" w:ascii="仿宋_GB2312" w:eastAsia="仿宋_GB2312"/>
                <w:kern w:val="0"/>
                <w:lang w:val="en-US" w:eastAsia="zh-CN"/>
              </w:rPr>
            </w:pPr>
          </w:p>
        </w:tc>
        <w:tc>
          <w:tcPr>
            <w:tcW w:w="683" w:type="dxa"/>
            <w:vAlign w:val="center"/>
          </w:tcPr>
          <w:p>
            <w:pPr>
              <w:spacing w:line="240" w:lineRule="auto"/>
              <w:ind w:firstLine="420"/>
              <w:jc w:val="both"/>
              <w:rPr>
                <w:rFonts w:hint="eastAsia" w:ascii="仿宋_GB2312" w:eastAsia="仿宋_GB2312"/>
                <w:kern w:val="0"/>
                <w:lang w:val="en-US" w:eastAsia="zh-CN"/>
              </w:rPr>
            </w:pP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对生态环境造成的负面影响</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431"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723" w:type="dxa"/>
            <w:vAlign w:val="center"/>
          </w:tcPr>
          <w:p>
            <w:pPr>
              <w:spacing w:line="240" w:lineRule="auto"/>
              <w:ind w:firstLine="420"/>
              <w:jc w:val="both"/>
              <w:rPr>
                <w:rFonts w:hint="eastAsia" w:ascii="仿宋_GB2312" w:eastAsia="仿宋_GB2312"/>
                <w:kern w:val="0"/>
                <w:lang w:val="en-US" w:eastAsia="zh-CN"/>
              </w:rPr>
            </w:pPr>
          </w:p>
        </w:tc>
        <w:tc>
          <w:tcPr>
            <w:tcW w:w="683" w:type="dxa"/>
            <w:vAlign w:val="center"/>
          </w:tcPr>
          <w:p>
            <w:pPr>
              <w:spacing w:line="240" w:lineRule="auto"/>
              <w:ind w:firstLine="420"/>
              <w:jc w:val="both"/>
              <w:rPr>
                <w:rFonts w:hint="eastAsia" w:ascii="仿宋_GB2312" w:eastAsia="仿宋_GB2312"/>
                <w:kern w:val="0"/>
                <w:lang w:val="en-US" w:eastAsia="zh-CN"/>
              </w:rPr>
            </w:pP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50"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7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8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505" w:type="dxa"/>
            <w:vAlign w:val="center"/>
          </w:tcPr>
          <w:p>
            <w:pPr>
              <w:spacing w:line="240" w:lineRule="auto"/>
              <w:ind w:firstLine="420"/>
              <w:jc w:val="center"/>
              <w:rPr>
                <w:rFonts w:ascii="仿宋_GB2312" w:eastAsia="仿宋_GB2312"/>
                <w:kern w:val="0"/>
              </w:rPr>
            </w:pPr>
          </w:p>
        </w:tc>
      </w:tr>
    </w:tbl>
    <w:p>
      <w:pPr>
        <w:spacing w:line="237" w:lineRule="exact"/>
        <w:ind w:firstLine="420"/>
        <w:jc w:val="left"/>
        <w:rPr>
          <w:kern w:val="0"/>
          <w:lang w:eastAsia="zh-CN"/>
        </w:rPr>
      </w:pP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7" w:type="default"/>
          <w:footerReference r:id="rId8"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2023年4月20日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胡亚运</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11"/>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89"/>
        <w:gridCol w:w="1030"/>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农村户用卫生厕所改建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汩罗市人民政府</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汩罗市农业农村局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8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3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8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8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89" w:type="dxa"/>
            <w:vAlign w:val="center"/>
          </w:tcPr>
          <w:p>
            <w:pPr>
              <w:spacing w:line="240" w:lineRule="auto"/>
              <w:ind w:firstLine="420"/>
              <w:jc w:val="both"/>
              <w:rPr>
                <w:rFonts w:ascii="仿宋_GB2312" w:hAnsi="宋体" w:eastAsia="仿宋_GB2312" w:cs="宋体"/>
                <w:kern w:val="0"/>
                <w:lang w:eastAsia="zh-CN"/>
              </w:rPr>
            </w:pPr>
          </w:p>
        </w:tc>
        <w:tc>
          <w:tcPr>
            <w:tcW w:w="1030" w:type="dxa"/>
            <w:vAlign w:val="center"/>
          </w:tcPr>
          <w:p>
            <w:pPr>
              <w:spacing w:line="240" w:lineRule="auto"/>
              <w:ind w:firstLine="420"/>
              <w:jc w:val="both"/>
              <w:rPr>
                <w:rFonts w:ascii="仿宋_GB2312" w:hAnsi="宋体" w:eastAsia="仿宋_GB2312" w:cs="宋体"/>
                <w:kern w:val="0"/>
                <w:lang w:eastAsia="zh-CN"/>
              </w:rPr>
            </w:pPr>
          </w:p>
        </w:tc>
        <w:tc>
          <w:tcPr>
            <w:tcW w:w="1099" w:type="dxa"/>
            <w:vAlign w:val="center"/>
          </w:tcPr>
          <w:p>
            <w:pPr>
              <w:spacing w:line="240" w:lineRule="auto"/>
              <w:ind w:firstLine="420"/>
              <w:jc w:val="both"/>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89" w:type="dxa"/>
            <w:vAlign w:val="center"/>
          </w:tcPr>
          <w:p>
            <w:pPr>
              <w:spacing w:line="240" w:lineRule="auto"/>
              <w:ind w:firstLine="420"/>
              <w:jc w:val="center"/>
              <w:rPr>
                <w:rFonts w:ascii="仿宋_GB2312" w:hAnsi="宋体" w:eastAsia="仿宋_GB2312" w:cs="宋体"/>
                <w:kern w:val="0"/>
              </w:rPr>
            </w:pPr>
          </w:p>
        </w:tc>
        <w:tc>
          <w:tcPr>
            <w:tcW w:w="103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8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3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户用卫生厕所改造</w:t>
            </w:r>
          </w:p>
        </w:tc>
        <w:tc>
          <w:tcPr>
            <w:tcW w:w="103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1000户</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1000户</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 xml:space="preserve">农村公厕改造  </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20座</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20座</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质量验收合格</w:t>
            </w:r>
          </w:p>
        </w:tc>
        <w:tc>
          <w:tcPr>
            <w:tcW w:w="103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90%以上</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粪污资源化利用率</w:t>
            </w:r>
          </w:p>
        </w:tc>
        <w:tc>
          <w:tcPr>
            <w:tcW w:w="103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90%以上</w:t>
            </w:r>
          </w:p>
        </w:tc>
        <w:tc>
          <w:tcPr>
            <w:tcW w:w="1099" w:type="dxa"/>
            <w:vAlign w:val="center"/>
          </w:tcPr>
          <w:p>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8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2022年度</w:t>
            </w:r>
          </w:p>
        </w:tc>
        <w:tc>
          <w:tcPr>
            <w:tcW w:w="103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eastAsia="zh-CN"/>
              </w:rPr>
              <w:t>完成</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厕所粪污资源化利用率</w:t>
            </w:r>
          </w:p>
        </w:tc>
        <w:tc>
          <w:tcPr>
            <w:tcW w:w="103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80%以上</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92%</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农村居民无害化卫生厕所普及率</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92%</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8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农村厕所粪污无害化处理率</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both"/>
              <w:rPr>
                <w:rFonts w:hint="eastAsia"/>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8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农村厕所改造影响年限</w:t>
            </w:r>
          </w:p>
        </w:tc>
        <w:tc>
          <w:tcPr>
            <w:tcW w:w="103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≥20年</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20年</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89" w:type="dxa"/>
            <w:tcBorders>
              <w:lef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农民满意度</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89" w:type="dxa"/>
            <w:tcBorders>
              <w:lef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卫生厕所改造补助资金标准</w:t>
            </w:r>
          </w:p>
        </w:tc>
        <w:tc>
          <w:tcPr>
            <w:tcW w:w="103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=3000元/户</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_GB2312" w:hAnsi="宋体" w:eastAsia="仿宋_GB2312" w:cs="宋体"/>
                <w:kern w:val="0"/>
                <w:lang w:val="en-US" w:eastAsia="zh-CN"/>
              </w:rPr>
              <w:t>3000元/户</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89" w:type="dxa"/>
            <w:vAlign w:val="center"/>
          </w:tcPr>
          <w:p>
            <w:pPr>
              <w:spacing w:line="240" w:lineRule="auto"/>
              <w:ind w:firstLine="420"/>
              <w:jc w:val="center"/>
              <w:rPr>
                <w:rFonts w:ascii="仿宋_GB2312" w:hAnsi="宋体" w:eastAsia="仿宋_GB2312" w:cs="宋体"/>
                <w:kern w:val="0"/>
              </w:rPr>
            </w:pPr>
          </w:p>
        </w:tc>
        <w:tc>
          <w:tcPr>
            <w:tcW w:w="103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89" w:type="dxa"/>
            <w:vAlign w:val="center"/>
          </w:tcPr>
          <w:p>
            <w:pPr>
              <w:spacing w:line="240" w:lineRule="auto"/>
              <w:ind w:firstLine="420"/>
              <w:jc w:val="center"/>
              <w:rPr>
                <w:rFonts w:ascii="仿宋_GB2312" w:hAnsi="宋体" w:eastAsia="仿宋_GB2312" w:cs="宋体"/>
                <w:kern w:val="0"/>
              </w:rPr>
            </w:pPr>
          </w:p>
        </w:tc>
        <w:tc>
          <w:tcPr>
            <w:tcW w:w="103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9" w:type="default"/>
          <w:footerReference r:id="rId10"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2023年4月20日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胡亚运</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11"/>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169"/>
        <w:gridCol w:w="950"/>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粮食生产扶持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16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16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95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16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95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169" w:type="dxa"/>
            <w:vAlign w:val="center"/>
          </w:tcPr>
          <w:p>
            <w:pPr>
              <w:spacing w:line="240" w:lineRule="auto"/>
              <w:ind w:firstLine="420"/>
              <w:jc w:val="center"/>
              <w:rPr>
                <w:rFonts w:ascii="仿宋_GB2312" w:hAnsi="宋体" w:eastAsia="仿宋_GB2312" w:cs="宋体"/>
                <w:kern w:val="0"/>
                <w:lang w:eastAsia="zh-CN"/>
              </w:rPr>
            </w:pPr>
          </w:p>
        </w:tc>
        <w:tc>
          <w:tcPr>
            <w:tcW w:w="95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169" w:type="dxa"/>
            <w:vAlign w:val="center"/>
          </w:tcPr>
          <w:p>
            <w:pPr>
              <w:spacing w:line="240" w:lineRule="auto"/>
              <w:ind w:firstLine="420"/>
              <w:jc w:val="center"/>
              <w:rPr>
                <w:rFonts w:ascii="仿宋_GB2312" w:hAnsi="宋体" w:eastAsia="仿宋_GB2312" w:cs="宋体"/>
                <w:kern w:val="0"/>
              </w:rPr>
            </w:pPr>
          </w:p>
        </w:tc>
        <w:tc>
          <w:tcPr>
            <w:tcW w:w="95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提高我市农业生产积极性，以稳定产能、保证农产品有效供给为主要目标，促进粮食生产稳定发展</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早稻面积</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35</w:t>
            </w:r>
            <w:r>
              <w:rPr>
                <w:rFonts w:hint="eastAsia" w:ascii="仿宋_GB2312" w:hAnsi="宋体" w:eastAsia="仿宋_GB2312" w:cs="宋体"/>
                <w:kern w:val="0"/>
              </w:rPr>
              <w:t>万亩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35.06</w:t>
            </w:r>
            <w:r>
              <w:rPr>
                <w:rFonts w:hint="eastAsia" w:ascii="仿宋_GB2312" w:hAnsi="宋体" w:eastAsia="仿宋_GB2312" w:cs="宋体"/>
                <w:kern w:val="0"/>
              </w:rPr>
              <w:t>万亩</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中稻面积</w:t>
            </w:r>
          </w:p>
        </w:tc>
        <w:tc>
          <w:tcPr>
            <w:tcW w:w="95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46万亩</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46万亩</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晚冬种面积</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35</w:t>
            </w:r>
            <w:r>
              <w:rPr>
                <w:rFonts w:hint="eastAsia" w:ascii="仿宋_GB2312" w:hAnsi="宋体" w:eastAsia="仿宋_GB2312" w:cs="宋体"/>
                <w:kern w:val="0"/>
              </w:rPr>
              <w:t>万亩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36</w:t>
            </w:r>
            <w:r>
              <w:rPr>
                <w:rFonts w:hint="eastAsia" w:ascii="仿宋_GB2312" w:hAnsi="宋体" w:eastAsia="仿宋_GB2312" w:cs="宋体"/>
                <w:kern w:val="0"/>
              </w:rPr>
              <w:t>万亩</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早稻亩产量</w:t>
            </w:r>
          </w:p>
        </w:tc>
        <w:tc>
          <w:tcPr>
            <w:tcW w:w="95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rPr>
              <w:t>470公斤</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470公斤</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中稻亩产量</w:t>
            </w:r>
          </w:p>
        </w:tc>
        <w:tc>
          <w:tcPr>
            <w:tcW w:w="9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530公斤</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530公斤</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项目实施时间与实际完工时间</w:t>
            </w:r>
          </w:p>
        </w:tc>
        <w:tc>
          <w:tcPr>
            <w:tcW w:w="9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一致</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一致</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16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早稻亩产值</w:t>
            </w:r>
          </w:p>
        </w:tc>
        <w:tc>
          <w:tcPr>
            <w:tcW w:w="9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1220元</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1220元</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晚稻亩产值</w:t>
            </w:r>
          </w:p>
        </w:tc>
        <w:tc>
          <w:tcPr>
            <w:tcW w:w="9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1350元</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1250元</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旱灾导致产量减少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早晚稻种植积极性</w:t>
            </w:r>
          </w:p>
        </w:tc>
        <w:tc>
          <w:tcPr>
            <w:tcW w:w="9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明显提高</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明显提高</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旱灾导致经济效益减少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16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农田生态环境</w:t>
            </w:r>
          </w:p>
        </w:tc>
        <w:tc>
          <w:tcPr>
            <w:tcW w:w="9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污染明显减少</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污染明显减少</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169" w:type="dxa"/>
            <w:vAlign w:val="center"/>
          </w:tcPr>
          <w:p>
            <w:pPr>
              <w:spacing w:line="240" w:lineRule="auto"/>
              <w:ind w:firstLine="420"/>
              <w:jc w:val="center"/>
              <w:rPr>
                <w:rFonts w:ascii="仿宋_GB2312" w:hAnsi="宋体" w:eastAsia="仿宋_GB2312" w:cs="宋体"/>
                <w:kern w:val="0"/>
              </w:rPr>
            </w:pPr>
          </w:p>
        </w:tc>
        <w:tc>
          <w:tcPr>
            <w:tcW w:w="95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ind w:firstLine="420"/>
              <w:jc w:val="center"/>
              <w:rPr>
                <w:rFonts w:ascii="仿宋_GB2312" w:hAnsi="宋体" w:eastAsia="仿宋_GB2312" w:cs="宋体"/>
                <w:kern w:val="0"/>
              </w:rPr>
            </w:pPr>
          </w:p>
        </w:tc>
        <w:tc>
          <w:tcPr>
            <w:tcW w:w="95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169" w:type="dxa"/>
            <w:vMerge w:val="restart"/>
            <w:tcBorders>
              <w:left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农民满意度</w:t>
            </w:r>
          </w:p>
        </w:tc>
        <w:tc>
          <w:tcPr>
            <w:tcW w:w="95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169" w:type="dxa"/>
            <w:tcBorders>
              <w:left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成本控制</w:t>
            </w:r>
          </w:p>
        </w:tc>
        <w:tc>
          <w:tcPr>
            <w:tcW w:w="95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最低</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最低</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eastAsia="zh-CN"/>
              </w:rPr>
              <w:t>成本控制</w:t>
            </w:r>
          </w:p>
        </w:tc>
        <w:tc>
          <w:tcPr>
            <w:tcW w:w="95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最低</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最低</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169" w:type="dxa"/>
            <w:vAlign w:val="center"/>
          </w:tcPr>
          <w:p>
            <w:pPr>
              <w:spacing w:line="240" w:lineRule="auto"/>
              <w:ind w:firstLine="420"/>
              <w:jc w:val="center"/>
              <w:rPr>
                <w:rFonts w:ascii="仿宋_GB2312" w:hAnsi="宋体" w:eastAsia="仿宋_GB2312" w:cs="宋体"/>
                <w:kern w:val="0"/>
              </w:rPr>
            </w:pPr>
          </w:p>
        </w:tc>
        <w:tc>
          <w:tcPr>
            <w:tcW w:w="95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11" w:type="default"/>
          <w:footerReference r:id="rId12"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2023年4月20日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胡亚运</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汨罗市农业农村局</w:t>
      </w:r>
      <w:r>
        <w:rPr>
          <w:rFonts w:hint="eastAsia" w:ascii="方正小标宋简体" w:hAnsi="宋体" w:eastAsia="方正小标宋简体" w:cs="宋体"/>
          <w:kern w:val="0"/>
          <w:sz w:val="44"/>
          <w:szCs w:val="44"/>
          <w:lang w:eastAsia="zh-CN"/>
        </w:rPr>
        <w:t>单位整体支出绩效自评报告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4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 xml:space="preserve">20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6"/>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汨罗市农业农村局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汨罗市农业农村局是我市分管三农工作的政府行政机构，负责管理农业部门，监督农业行为。拟定全市农业生产和农村经济的发展战略、中长期规划，经批准后组织实施；拟定农业的产业政策，引导农业产业结构的合理调整、农业资源的合理配置和产品品质的改善； 拟定农业产业化经营的政策与发展规划，推进农业产业化进程，发展休闲农业，促进农业产前、产中、产后一体化发展；组织监督对市内植物检疫工作，进行病虫预测预报和防治，发布疫情并组织扑灭；组织实施农业各产业产品及绿色食品的质量监督、认证和农业植物新品种的保护工作；组织协调种子、农药等农业投入品质量的监测、鉴定和执法监督管理；负责全市农村环境卫生工作的总体部署与安排；负责全市农村规范建房工作的总体部署与安排；负责我市“空心房”整治工作的总体部署与安排等。现有21个内设股室及4个副科级别二级机构，单位在职人数190名、退休人员110人，全局共有300人 。</w:t>
      </w: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一般公共预算支出情况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2022年预算总收入33612.34万元，总支出33612.34万元，其中基本支出2457.01万元，项目支出31155.33万元，无收支结余。</w:t>
      </w:r>
    </w:p>
    <w:p>
      <w:pPr>
        <w:pStyle w:val="13"/>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3"/>
        <w:spacing w:line="600" w:lineRule="exact"/>
        <w:ind w:firstLine="643"/>
        <w:jc w:val="both"/>
        <w:rPr>
          <w:rFonts w:hint="eastAsia"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基本支出</w:t>
      </w:r>
      <w:r>
        <w:rPr>
          <w:rFonts w:hint="eastAsia" w:eastAsia="仿宋_GB2312" w:cs="Arial"/>
          <w:snapToGrid w:val="0"/>
          <w:color w:val="000000"/>
          <w:kern w:val="0"/>
          <w:sz w:val="32"/>
          <w:szCs w:val="32"/>
          <w:highlight w:val="none"/>
          <w:lang w:val="en-US" w:eastAsia="zh-CN" w:bidi="ar-SA"/>
        </w:rPr>
        <w:t>2457.01</w:t>
      </w:r>
      <w:r>
        <w:rPr>
          <w:rFonts w:hint="eastAsia" w:ascii="Arial" w:hAnsi="Arial" w:eastAsia="仿宋_GB2312" w:cs="Arial"/>
          <w:snapToGrid w:val="0"/>
          <w:color w:val="000000"/>
          <w:kern w:val="0"/>
          <w:sz w:val="32"/>
          <w:szCs w:val="32"/>
          <w:highlight w:val="none"/>
          <w:lang w:val="en-US" w:eastAsia="zh-CN" w:bidi="ar-SA"/>
        </w:rPr>
        <w:t>万元：工资福利支出</w:t>
      </w:r>
      <w:r>
        <w:rPr>
          <w:rFonts w:hint="eastAsia" w:eastAsia="仿宋_GB2312" w:cs="Arial"/>
          <w:snapToGrid w:val="0"/>
          <w:color w:val="000000"/>
          <w:kern w:val="0"/>
          <w:sz w:val="32"/>
          <w:szCs w:val="32"/>
          <w:highlight w:val="none"/>
          <w:lang w:val="en-US" w:eastAsia="zh-CN" w:bidi="ar-SA"/>
        </w:rPr>
        <w:t>2050.41</w:t>
      </w:r>
      <w:r>
        <w:rPr>
          <w:rFonts w:hint="eastAsia" w:ascii="Arial" w:hAnsi="Arial" w:eastAsia="仿宋_GB2312" w:cs="Arial"/>
          <w:snapToGrid w:val="0"/>
          <w:color w:val="000000"/>
          <w:kern w:val="0"/>
          <w:sz w:val="32"/>
          <w:szCs w:val="32"/>
          <w:highlight w:val="none"/>
          <w:lang w:val="en-US" w:eastAsia="zh-CN" w:bidi="ar-SA"/>
        </w:rPr>
        <w:t>万元、一般商品和服务支</w:t>
      </w:r>
      <w:r>
        <w:rPr>
          <w:rFonts w:hint="eastAsia" w:eastAsia="仿宋_GB2312" w:cs="Arial"/>
          <w:snapToGrid w:val="0"/>
          <w:color w:val="000000"/>
          <w:kern w:val="0"/>
          <w:sz w:val="32"/>
          <w:szCs w:val="32"/>
          <w:highlight w:val="none"/>
          <w:lang w:val="en-US" w:eastAsia="zh-CN" w:bidi="ar-SA"/>
        </w:rPr>
        <w:t>406.59</w:t>
      </w:r>
      <w:r>
        <w:rPr>
          <w:rFonts w:hint="eastAsia" w:ascii="Arial" w:hAnsi="Arial" w:eastAsia="仿宋_GB2312" w:cs="Arial"/>
          <w:snapToGrid w:val="0"/>
          <w:color w:val="000000"/>
          <w:kern w:val="0"/>
          <w:sz w:val="32"/>
          <w:szCs w:val="32"/>
          <w:highlight w:val="none"/>
          <w:lang w:val="en-US" w:eastAsia="zh-CN" w:bidi="ar-SA"/>
        </w:rPr>
        <w:t>万元</w:t>
      </w:r>
      <w:r>
        <w:rPr>
          <w:rFonts w:hint="eastAsia" w:eastAsia="仿宋_GB2312" w:cs="Arial"/>
          <w:snapToGrid w:val="0"/>
          <w:color w:val="000000"/>
          <w:kern w:val="0"/>
          <w:sz w:val="32"/>
          <w:szCs w:val="32"/>
          <w:highlight w:val="none"/>
          <w:lang w:val="en-US" w:eastAsia="zh-CN" w:bidi="ar-SA"/>
        </w:rPr>
        <w:t>。</w:t>
      </w:r>
    </w:p>
    <w:p>
      <w:pPr>
        <w:pStyle w:val="13"/>
        <w:spacing w:line="600" w:lineRule="exact"/>
        <w:ind w:firstLine="643"/>
        <w:jc w:val="both"/>
        <w:rPr>
          <w:rFonts w:hint="default" w:eastAsia="仿宋_GB2312" w:cs="Arial"/>
          <w:snapToGrid w:val="0"/>
          <w:color w:val="000000"/>
          <w:kern w:val="0"/>
          <w:sz w:val="32"/>
          <w:szCs w:val="32"/>
          <w:highlight w:val="none"/>
          <w:lang w:val="en-US" w:eastAsia="zh-CN" w:bidi="ar-SA"/>
        </w:rPr>
      </w:pPr>
      <w:r>
        <w:rPr>
          <w:rFonts w:hint="eastAsia" w:eastAsia="仿宋_GB2312" w:cs="Arial"/>
          <w:snapToGrid w:val="0"/>
          <w:color w:val="000000"/>
          <w:kern w:val="0"/>
          <w:sz w:val="32"/>
          <w:szCs w:val="32"/>
          <w:highlight w:val="none"/>
          <w:lang w:val="en-US" w:eastAsia="zh-CN" w:bidi="ar-SA"/>
        </w:rPr>
        <w:t>2022年三公经费年初预算47.4万元，其中公务接待费44.4万元，公车运行维护费3万元，实际支出21.5万元，其中公务接待费14.05万元，公车运行维护费7.46万元。三公经费比年初预算减少了25.9万元，原因是厉行节约，减少了公务接待支出。比2021年三公经费增加了12.05万元，原因是我局亮点工作高标准农田建设在全国推广，各地前来学习交流增加，从而导致公务接待费比2021年增加。</w:t>
      </w:r>
    </w:p>
    <w:p>
      <w:pPr>
        <w:pStyle w:val="13"/>
        <w:numPr>
          <w:ilvl w:val="0"/>
          <w:numId w:val="2"/>
        </w:numPr>
        <w:spacing w:line="600" w:lineRule="exact"/>
        <w:ind w:firstLine="643"/>
        <w:jc w:val="both"/>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项目支出情况</w:t>
      </w:r>
    </w:p>
    <w:p>
      <w:pPr>
        <w:pStyle w:val="13"/>
        <w:spacing w:line="600" w:lineRule="exact"/>
        <w:ind w:left="0" w:leftChars="0" w:firstLine="640" w:firstLineChars="200"/>
        <w:jc w:val="both"/>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专项支出</w:t>
      </w:r>
      <w:r>
        <w:rPr>
          <w:rFonts w:hint="eastAsia" w:eastAsia="仿宋_GB2312" w:cs="Arial"/>
          <w:snapToGrid w:val="0"/>
          <w:color w:val="000000"/>
          <w:kern w:val="0"/>
          <w:sz w:val="32"/>
          <w:szCs w:val="32"/>
          <w:highlight w:val="none"/>
          <w:lang w:val="en-US" w:eastAsia="zh-CN" w:bidi="ar-SA"/>
        </w:rPr>
        <w:t>31155.33</w:t>
      </w:r>
      <w:r>
        <w:rPr>
          <w:rFonts w:hint="eastAsia" w:ascii="Arial" w:hAnsi="Arial" w:eastAsia="仿宋_GB2312" w:cs="Arial"/>
          <w:snapToGrid w:val="0"/>
          <w:color w:val="000000"/>
          <w:kern w:val="0"/>
          <w:sz w:val="32"/>
          <w:szCs w:val="32"/>
          <w:highlight w:val="none"/>
          <w:lang w:val="en-US" w:eastAsia="zh-CN" w:bidi="ar-SA"/>
        </w:rPr>
        <w:t>万元</w:t>
      </w:r>
      <w:r>
        <w:rPr>
          <w:rFonts w:hint="eastAsia" w:eastAsia="仿宋_GB2312" w:cs="Arial"/>
          <w:snapToGrid w:val="0"/>
          <w:color w:val="000000"/>
          <w:kern w:val="0"/>
          <w:sz w:val="32"/>
          <w:szCs w:val="32"/>
          <w:highlight w:val="none"/>
          <w:lang w:val="en-US" w:eastAsia="zh-CN" w:bidi="ar-SA"/>
        </w:rPr>
        <w:t>（含上级专项资金）,其中一般行政管理事务50万元，科技转化和推广服务156.17万元，病虫害控制176.77万元，农产品质量安全38.74万元，执法监管30.92万元，防灾救灾412万元，农业结构调整补贴775.74万元，农业生产发展9100万元，农村社会事业1034.66万元，农业资源保护修复与利用1779.57万元，渔业发展34万元，农田建设5745.67万元，其他农业农村支出1589.81万元，巩固脱贫衔接乡村振兴1107万元，农业保险保费补贴5942.09万元，其他普惠金融发展支出83.11万元，其他目标价格补贴2453.43万元，其他农林水支出175.64万元，金融发展支出30万元。其中本级专项</w:t>
      </w:r>
      <w:r>
        <w:rPr>
          <w:rFonts w:hint="eastAsia" w:ascii="Arial" w:hAnsi="Arial" w:eastAsia="仿宋_GB2312" w:cs="Arial"/>
          <w:snapToGrid w:val="0"/>
          <w:color w:val="000000"/>
          <w:kern w:val="0"/>
          <w:sz w:val="32"/>
          <w:szCs w:val="32"/>
          <w:highlight w:val="none"/>
          <w:lang w:val="en-US" w:eastAsia="zh-CN" w:bidi="ar-SA"/>
        </w:rPr>
        <w:t>明细</w:t>
      </w:r>
      <w:r>
        <w:rPr>
          <w:rFonts w:hint="eastAsia" w:eastAsia="仿宋_GB2312" w:cs="Arial"/>
          <w:snapToGrid w:val="0"/>
          <w:color w:val="000000"/>
          <w:kern w:val="0"/>
          <w:sz w:val="32"/>
          <w:szCs w:val="32"/>
          <w:highlight w:val="none"/>
          <w:lang w:val="en-US" w:eastAsia="zh-CN" w:bidi="ar-SA"/>
        </w:rPr>
        <w:t>如下</w:t>
      </w:r>
      <w:r>
        <w:rPr>
          <w:rFonts w:hint="eastAsia" w:ascii="Arial" w:hAnsi="Arial" w:eastAsia="仿宋_GB2312" w:cs="Arial"/>
          <w:snapToGrid w:val="0"/>
          <w:color w:val="000000"/>
          <w:kern w:val="0"/>
          <w:sz w:val="32"/>
          <w:szCs w:val="32"/>
          <w:highlight w:val="none"/>
          <w:lang w:val="en-US" w:eastAsia="zh-CN" w:bidi="ar-SA"/>
        </w:rPr>
        <w:t>：</w:t>
      </w:r>
    </w:p>
    <w:p>
      <w:pPr>
        <w:pStyle w:val="13"/>
        <w:spacing w:line="600" w:lineRule="exact"/>
        <w:ind w:left="0" w:leftChars="0" w:firstLine="640" w:firstLineChars="200"/>
        <w:jc w:val="both"/>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农村户用厕所改建1220万元</w:t>
      </w:r>
      <w:r>
        <w:rPr>
          <w:rFonts w:hint="eastAsia" w:eastAsia="仿宋_GB2312" w:cs="Arial"/>
          <w:snapToGrid w:val="0"/>
          <w:color w:val="000000"/>
          <w:kern w:val="0"/>
          <w:sz w:val="32"/>
          <w:szCs w:val="32"/>
          <w:highlight w:val="none"/>
          <w:lang w:val="en-US" w:eastAsia="zh-CN" w:bidi="ar-SA"/>
        </w:rPr>
        <w:t>、</w:t>
      </w:r>
      <w:r>
        <w:rPr>
          <w:rFonts w:hint="eastAsia" w:ascii="Arial" w:hAnsi="Arial" w:eastAsia="仿宋_GB2312" w:cs="Arial"/>
          <w:snapToGrid w:val="0"/>
          <w:color w:val="000000"/>
          <w:kern w:val="0"/>
          <w:sz w:val="32"/>
          <w:szCs w:val="32"/>
          <w:highlight w:val="none"/>
          <w:lang w:val="en-US" w:eastAsia="zh-CN" w:bidi="ar-SA"/>
        </w:rPr>
        <w:t>粮食生产扶持50万元</w:t>
      </w:r>
      <w:r>
        <w:rPr>
          <w:rFonts w:hint="eastAsia" w:eastAsia="仿宋_GB2312" w:cs="Arial"/>
          <w:snapToGrid w:val="0"/>
          <w:color w:val="000000"/>
          <w:kern w:val="0"/>
          <w:sz w:val="32"/>
          <w:szCs w:val="32"/>
          <w:highlight w:val="none"/>
          <w:lang w:val="en-US" w:eastAsia="zh-CN" w:bidi="ar-SA"/>
        </w:rPr>
        <w:t>、</w:t>
      </w:r>
      <w:r>
        <w:rPr>
          <w:rFonts w:hint="eastAsia" w:ascii="Arial" w:hAnsi="Arial" w:eastAsia="仿宋_GB2312" w:cs="Arial"/>
          <w:snapToGrid w:val="0"/>
          <w:color w:val="000000"/>
          <w:kern w:val="0"/>
          <w:sz w:val="32"/>
          <w:szCs w:val="32"/>
          <w:highlight w:val="none"/>
          <w:lang w:val="en-US" w:eastAsia="zh-CN" w:bidi="ar-SA"/>
        </w:rPr>
        <w:t>农产品质量安全检测及安全管理3万元、人居环境整治经费20万元、渔政禁渔、执法、禁捕退捕经费15万元</w:t>
      </w:r>
      <w:r>
        <w:rPr>
          <w:rFonts w:hint="eastAsia" w:eastAsia="仿宋_GB2312" w:cs="Arial"/>
          <w:snapToGrid w:val="0"/>
          <w:color w:val="000000"/>
          <w:kern w:val="0"/>
          <w:sz w:val="32"/>
          <w:szCs w:val="32"/>
          <w:highlight w:val="none"/>
          <w:lang w:val="en-US" w:eastAsia="zh-CN" w:bidi="ar-SA"/>
        </w:rPr>
        <w:t>，中央、省级专项资金支出29847.33万元</w:t>
      </w:r>
      <w:r>
        <w:rPr>
          <w:rFonts w:hint="eastAsia" w:ascii="Arial" w:hAnsi="Arial" w:eastAsia="仿宋_GB2312" w:cs="Arial"/>
          <w:snapToGrid w:val="0"/>
          <w:color w:val="000000"/>
          <w:kern w:val="0"/>
          <w:sz w:val="32"/>
          <w:szCs w:val="32"/>
          <w:highlight w:val="none"/>
          <w:lang w:val="en-US" w:eastAsia="zh-CN" w:bidi="ar-SA"/>
        </w:rPr>
        <w:t>（本级</w:t>
      </w:r>
      <w:r>
        <w:rPr>
          <w:rFonts w:hint="eastAsia" w:eastAsia="仿宋_GB2312" w:cs="Arial"/>
          <w:snapToGrid w:val="0"/>
          <w:color w:val="000000"/>
          <w:kern w:val="0"/>
          <w:sz w:val="32"/>
          <w:szCs w:val="32"/>
          <w:highlight w:val="none"/>
          <w:lang w:val="en-US" w:eastAsia="zh-CN" w:bidi="ar-SA"/>
        </w:rPr>
        <w:t>30万以上</w:t>
      </w:r>
      <w:r>
        <w:rPr>
          <w:rFonts w:hint="eastAsia" w:ascii="Arial" w:hAnsi="Arial" w:eastAsia="仿宋_GB2312" w:cs="Arial"/>
          <w:snapToGrid w:val="0"/>
          <w:color w:val="000000"/>
          <w:kern w:val="0"/>
          <w:sz w:val="32"/>
          <w:szCs w:val="32"/>
          <w:highlight w:val="none"/>
          <w:lang w:val="en-US" w:eastAsia="zh-CN" w:bidi="ar-SA"/>
        </w:rPr>
        <w:t>专项绩效评价自评表附后）</w:t>
      </w:r>
    </w:p>
    <w:p>
      <w:pPr>
        <w:numPr>
          <w:ilvl w:val="0"/>
          <w:numId w:val="0"/>
        </w:numPr>
        <w:spacing w:line="600" w:lineRule="exact"/>
        <w:ind w:left="640" w:leftChars="0"/>
        <w:jc w:val="both"/>
        <w:rPr>
          <w:rFonts w:hint="eastAsia" w:ascii="方正黑体_GBK" w:eastAsia="方正黑体_GBK"/>
          <w:kern w:val="0"/>
          <w:sz w:val="32"/>
          <w:szCs w:val="32"/>
          <w:highlight w:val="none"/>
          <w:lang w:eastAsia="zh-CN"/>
        </w:rPr>
      </w:pPr>
      <w:r>
        <w:rPr>
          <w:rFonts w:hint="eastAsia" w:ascii="方正黑体_GBK" w:eastAsia="方正黑体_GBK"/>
          <w:kern w:val="0"/>
          <w:sz w:val="32"/>
          <w:szCs w:val="32"/>
          <w:highlight w:val="none"/>
          <w:lang w:eastAsia="zh-CN"/>
        </w:rPr>
        <w:t>三、政府性基金预算支出情况</w:t>
      </w:r>
    </w:p>
    <w:p>
      <w:pPr>
        <w:spacing w:line="600" w:lineRule="exact"/>
        <w:ind w:firstLine="640" w:firstLineChars="200"/>
        <w:jc w:val="both"/>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2年无政府性基金预算收入，无政府性基金预算支出。</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eastAsia="仿宋_GB2312"/>
          <w:kern w:val="0"/>
          <w:sz w:val="32"/>
          <w:szCs w:val="32"/>
          <w:lang w:eastAsia="zh-CN"/>
        </w:rPr>
      </w:pPr>
      <w:r>
        <w:rPr>
          <w:rFonts w:eastAsia="仿宋_GB2312"/>
          <w:sz w:val="32"/>
          <w:szCs w:val="32"/>
          <w:lang w:eastAsia="zh-CN"/>
        </w:rPr>
        <w:t>202</w:t>
      </w:r>
      <w:r>
        <w:rPr>
          <w:rFonts w:hint="eastAsia" w:eastAsia="仿宋_GB2312"/>
          <w:sz w:val="32"/>
          <w:szCs w:val="32"/>
          <w:lang w:eastAsia="zh-CN"/>
        </w:rPr>
        <w:t>2年无国有资本经营预算收入，无国有资本经营预算支出。</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spacing w:line="600" w:lineRule="exact"/>
        <w:ind w:firstLine="640" w:firstLineChars="200"/>
        <w:jc w:val="both"/>
        <w:rPr>
          <w:rFonts w:hint="eastAsia" w:eastAsia="仿宋_GB2312"/>
          <w:kern w:val="0"/>
          <w:sz w:val="32"/>
          <w:szCs w:val="32"/>
          <w:lang w:eastAsia="zh-CN"/>
        </w:rPr>
      </w:pPr>
      <w:r>
        <w:rPr>
          <w:rFonts w:eastAsia="仿宋_GB2312"/>
          <w:sz w:val="32"/>
          <w:szCs w:val="32"/>
          <w:lang w:eastAsia="zh-CN"/>
        </w:rPr>
        <w:t>202</w:t>
      </w:r>
      <w:r>
        <w:rPr>
          <w:rFonts w:hint="eastAsia" w:eastAsia="仿宋_GB2312"/>
          <w:sz w:val="32"/>
          <w:szCs w:val="32"/>
          <w:lang w:eastAsia="zh-CN"/>
        </w:rPr>
        <w:t>2年无社会保险基金预算收入，无社会保险基金预算支出。</w:t>
      </w:r>
    </w:p>
    <w:p>
      <w:pPr>
        <w:numPr>
          <w:ilvl w:val="0"/>
          <w:numId w:val="0"/>
        </w:numPr>
        <w:spacing w:line="600" w:lineRule="exact"/>
        <w:ind w:left="640" w:leftChars="0"/>
        <w:jc w:val="both"/>
        <w:rPr>
          <w:rFonts w:hint="eastAsia" w:ascii="方正黑体_GBK" w:eastAsia="方正黑体_GBK"/>
          <w:kern w:val="0"/>
          <w:sz w:val="32"/>
          <w:szCs w:val="32"/>
          <w:highlight w:val="none"/>
          <w:lang w:eastAsia="zh-CN"/>
        </w:rPr>
      </w:pPr>
      <w:r>
        <w:rPr>
          <w:rFonts w:hint="eastAsia" w:ascii="方正黑体_GBK" w:eastAsia="方正黑体_GBK"/>
          <w:kern w:val="0"/>
          <w:sz w:val="32"/>
          <w:szCs w:val="32"/>
          <w:highlight w:val="none"/>
          <w:lang w:eastAsia="zh-CN"/>
        </w:rPr>
        <w:t>六、部门整体支出绩效情况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lang w:val="en-US" w:eastAsia="zh-CN"/>
        </w:rPr>
        <w:t>今年以来，我局认真贯彻习近平总书记关于“三农”工作的重点论述和指示批示精神，全面贯彻落实中央一号文件精神和中、省、市各级农村工作会议决策部署，全面统筹、加强调度，压实责任、加大投入，克服极端天气和国内经济运行压力加大的不利影响，出台一系列统揽经济发展大盘的政策措施，全力推动全县农业农村经济稳步发展。本部门整体支出和专项支出管理得到了有效提升，并取得了较好的成</w:t>
      </w:r>
      <w:r>
        <w:rPr>
          <w:rFonts w:hint="eastAsia" w:eastAsia="仿宋_GB2312"/>
          <w:kern w:val="0"/>
          <w:sz w:val="32"/>
          <w:szCs w:val="32"/>
          <w:highlight w:val="none"/>
          <w:lang w:val="en-US" w:eastAsia="zh-CN"/>
        </w:rPr>
        <w:t>效，自我评价分数为97分。</w:t>
      </w:r>
    </w:p>
    <w:p>
      <w:pPr>
        <w:numPr>
          <w:ilvl w:val="0"/>
          <w:numId w:val="3"/>
        </w:numPr>
        <w:spacing w:line="600" w:lineRule="exact"/>
        <w:ind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部门整体支出和专项资金管理</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2、执行资金预算化管理，积极推进部门整体支出、项目支出绩效管理。计财股负责组织、协调各部门预算绩效管理；各部门组织编制部门预算和绩效目标，对项目绩效目标完成情况进行总结分析，撰写绩效报告送计财股；根据绩效评价结果改进预算绩效管理，通过资金预算编制、调整、执行、控制、绩效评价，增强政府资金投入、产出效能，提高财政资金使用效益。</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3、成立了单位内部控制领导小组，由一把手直接领导。建立了单位层面的内控运行制约机制。</w:t>
      </w:r>
    </w:p>
    <w:p>
      <w:pPr>
        <w:numPr>
          <w:ilvl w:val="0"/>
          <w:numId w:val="3"/>
        </w:numPr>
        <w:spacing w:line="600" w:lineRule="exact"/>
        <w:ind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部门整体支出情况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我单位2022年部门整体支出33612.33万元，其中：1、基本支出2457.01万元，占总支出7.31%（人员支出2050.41万元，占基本支出83.45%，公用经费支出406.59万元，占基本支出16.55%）；2、项目支出31155.33万元，占总支出92.69%。</w:t>
      </w:r>
    </w:p>
    <w:p>
      <w:pPr>
        <w:numPr>
          <w:ilvl w:val="0"/>
          <w:numId w:val="3"/>
        </w:numPr>
        <w:spacing w:line="600" w:lineRule="exact"/>
        <w:ind w:left="0" w:leftChars="0"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固定资产管理情况</w:t>
      </w:r>
    </w:p>
    <w:p>
      <w:pPr>
        <w:numPr>
          <w:ilvl w:val="0"/>
          <w:numId w:val="0"/>
        </w:numPr>
        <w:spacing w:line="600" w:lineRule="exact"/>
        <w:jc w:val="both"/>
        <w:rPr>
          <w:rFonts w:hint="default" w:eastAsia="仿宋_GB2312"/>
          <w:kern w:val="0"/>
          <w:sz w:val="32"/>
          <w:szCs w:val="32"/>
          <w:highlight w:val="none"/>
          <w:lang w:val="en-US" w:eastAsia="zh-CN"/>
        </w:rPr>
      </w:pPr>
      <w:r>
        <w:rPr>
          <w:rFonts w:hint="eastAsia" w:eastAsia="仿宋_GB2312"/>
          <w:b/>
          <w:bCs/>
          <w:kern w:val="0"/>
          <w:sz w:val="32"/>
          <w:szCs w:val="32"/>
          <w:highlight w:val="none"/>
          <w:lang w:val="en-US" w:eastAsia="zh-CN"/>
        </w:rPr>
        <w:t xml:space="preserve">   </w:t>
      </w:r>
      <w:r>
        <w:rPr>
          <w:rFonts w:hint="eastAsia" w:eastAsia="仿宋_GB2312"/>
          <w:kern w:val="0"/>
          <w:sz w:val="32"/>
          <w:szCs w:val="32"/>
          <w:highlight w:val="none"/>
          <w:lang w:val="en-US" w:eastAsia="zh-CN"/>
        </w:rPr>
        <w:t xml:space="preserve">    坚持厉行节约、物尽其用的原则，我单位闲置的资产由办公室统一调剂使用，发挥其效益，对不能用的资产，采取了处置后购置，保障资产的安全高效利用。2022年我单位固定资产总值293.37万元。</w:t>
      </w:r>
    </w:p>
    <w:p>
      <w:pPr>
        <w:numPr>
          <w:ilvl w:val="0"/>
          <w:numId w:val="3"/>
        </w:numPr>
        <w:spacing w:line="600" w:lineRule="exact"/>
        <w:ind w:left="0" w:leftChars="0"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专项资金使用情况</w:t>
      </w:r>
    </w:p>
    <w:p>
      <w:pPr>
        <w:numPr>
          <w:ilvl w:val="0"/>
          <w:numId w:val="0"/>
        </w:numPr>
        <w:spacing w:line="600" w:lineRule="exact"/>
        <w:ind w:firstLine="640" w:firstLineChars="200"/>
        <w:jc w:val="both"/>
        <w:rPr>
          <w:rFonts w:hint="default" w:eastAsia="仿宋_GB2312"/>
          <w:kern w:val="0"/>
          <w:sz w:val="32"/>
          <w:szCs w:val="32"/>
          <w:highlight w:val="none"/>
          <w:lang w:val="en-US" w:eastAsia="zh-CN"/>
        </w:rPr>
      </w:pPr>
      <w:r>
        <w:rPr>
          <w:rFonts w:hint="eastAsia" w:eastAsia="仿宋_GB2312"/>
          <w:kern w:val="0"/>
          <w:sz w:val="32"/>
          <w:szCs w:val="32"/>
          <w:highlight w:val="none"/>
          <w:lang w:val="en-US" w:eastAsia="zh-CN"/>
        </w:rPr>
        <w:t>2022年项目支出年初预算31155.33万元，资金来源主要源于财政拨款，无其他资金投入。资金主要用于高标准农田建设、巩固脱贫衔接乡村振兴、农村社会事业、病虫害控制、</w:t>
      </w:r>
      <w:r>
        <w:rPr>
          <w:rFonts w:hint="eastAsia" w:eastAsia="仿宋_GB2312" w:cs="Arial"/>
          <w:snapToGrid w:val="0"/>
          <w:color w:val="000000"/>
          <w:kern w:val="0"/>
          <w:sz w:val="32"/>
          <w:szCs w:val="32"/>
          <w:highlight w:val="none"/>
          <w:lang w:val="en-US" w:eastAsia="zh-CN" w:bidi="ar-SA"/>
        </w:rPr>
        <w:t>防灾救灾、科技转化和推广服务、农业资源保护修复与利用等方面。</w:t>
      </w:r>
      <w:r>
        <w:rPr>
          <w:rFonts w:hint="eastAsia" w:eastAsia="仿宋_GB2312"/>
          <w:kern w:val="0"/>
          <w:sz w:val="32"/>
          <w:szCs w:val="32"/>
          <w:highlight w:val="none"/>
          <w:lang w:val="en-US" w:eastAsia="zh-CN"/>
        </w:rPr>
        <w:t>项目所有开支均按照我单位专项资金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pPr>
        <w:numPr>
          <w:ilvl w:val="0"/>
          <w:numId w:val="3"/>
        </w:numPr>
        <w:spacing w:line="600" w:lineRule="exact"/>
        <w:ind w:left="0" w:leftChars="0" w:firstLine="643" w:firstLineChars="200"/>
        <w:jc w:val="both"/>
        <w:rPr>
          <w:rFonts w:hint="default"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 xml:space="preserve"> 整体目标完成情况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我单位工作开展情况及主要事业成效：</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eastAsia" w:ascii="Times New Roman" w:hAnsi="Times New Roman" w:eastAsia="仿宋_GB2312" w:cs="Times New Roman"/>
          <w:b w:val="0"/>
          <w:bCs w:val="0"/>
          <w:color w:val="auto"/>
          <w:sz w:val="32"/>
          <w:szCs w:val="32"/>
          <w:shd w:val="clear" w:color="auto" w:fill="FFFFFF"/>
          <w:lang w:val="en-US" w:eastAsia="zh-CN"/>
        </w:rPr>
      </w:pPr>
      <w:r>
        <w:rPr>
          <w:rFonts w:hint="eastAsia" w:ascii="楷体" w:hAnsi="楷体" w:eastAsia="楷体" w:cs="楷体"/>
          <w:b/>
          <w:bCs/>
          <w:sz w:val="32"/>
          <w:szCs w:val="32"/>
          <w:lang w:val="en-US" w:eastAsia="zh-CN"/>
        </w:rPr>
        <w:t>1、稳固主导产业。</w:t>
      </w:r>
      <w:r>
        <w:rPr>
          <w:rFonts w:hint="eastAsia" w:eastAsia="仿宋"/>
          <w:b w:val="0"/>
          <w:bCs w:val="0"/>
          <w:sz w:val="32"/>
          <w:szCs w:val="32"/>
          <w:lang w:val="en-US" w:eastAsia="zh-CN"/>
        </w:rPr>
        <w:t>全市</w:t>
      </w:r>
      <w:r>
        <w:rPr>
          <w:rFonts w:hint="eastAsia" w:ascii="Times New Roman" w:hAnsi="Times New Roman" w:eastAsia="仿宋_GB2312" w:cs="Times New Roman"/>
          <w:b w:val="0"/>
          <w:bCs w:val="0"/>
          <w:color w:val="auto"/>
          <w:sz w:val="32"/>
          <w:szCs w:val="32"/>
          <w:shd w:val="clear" w:color="auto" w:fill="FFFFFF"/>
          <w:lang w:val="en-US" w:eastAsia="zh-CN"/>
        </w:rPr>
        <w:t>完成早稻集中育秧面积27.84万亩、早稻面积35.06万亩、晚稻面积36万亩，同时，发展旱杂粮，全市播种玉米9万亩、大豆1.5万亩。全市存栏生猪56万头，能繁母猪5.4万头，出栏生猪75万头，。</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eastAsia" w:ascii="Times New Roman" w:hAnsi="Times New Roman" w:eastAsia="仿宋_GB2312"/>
          <w:color w:val="auto"/>
          <w:spacing w:val="-6"/>
          <w:sz w:val="32"/>
          <w:szCs w:val="32"/>
          <w:lang w:val="en-US" w:eastAsia="zh-CN"/>
        </w:rPr>
      </w:pPr>
      <w:r>
        <w:rPr>
          <w:rFonts w:hint="eastAsia" w:ascii="楷体" w:hAnsi="楷体" w:eastAsia="楷体" w:cs="楷体"/>
          <w:b/>
          <w:bCs/>
          <w:sz w:val="32"/>
          <w:szCs w:val="32"/>
          <w:lang w:val="en-US" w:eastAsia="zh-CN"/>
        </w:rPr>
        <w:t>2、发展农业产业。</w:t>
      </w:r>
      <w:r>
        <w:rPr>
          <w:rFonts w:hint="eastAsia" w:ascii="Times New Roman" w:hAnsi="Times New Roman" w:eastAsia="仿宋_GB2312"/>
          <w:color w:val="auto"/>
          <w:spacing w:val="-6"/>
          <w:sz w:val="32"/>
          <w:szCs w:val="32"/>
          <w:lang w:val="en-US" w:eastAsia="zh-CN"/>
        </w:rPr>
        <w:t>全市6个村（片）列入岳阳市第一批乡村振兴示范线路，5月24日组织集中签约16个种植、休闲等农业产业项目，总投资8.08亿元。目前全市共有省级龙头企业8家，市级龙头企业30家，“二品一标”达34个。今年打造了三湘米业、一碗陈记、马复胜食品等省级龙头企业5家，市级龙头企8家。</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default" w:ascii="Times New Roman" w:hAnsi="Times New Roman" w:eastAsia="仿宋_GB2312"/>
          <w:kern w:val="0"/>
          <w:sz w:val="32"/>
          <w:szCs w:val="32"/>
          <w:lang w:val="en-US" w:eastAsia="zh-CN"/>
        </w:rPr>
      </w:pPr>
      <w:r>
        <w:rPr>
          <w:rFonts w:hint="eastAsia" w:ascii="楷体" w:hAnsi="楷体" w:eastAsia="楷体" w:cs="楷体"/>
          <w:b/>
          <w:bCs/>
          <w:kern w:val="2"/>
          <w:sz w:val="32"/>
          <w:szCs w:val="32"/>
          <w:lang w:val="en-US" w:eastAsia="zh-CN" w:bidi="ar-SA"/>
        </w:rPr>
        <w:t>3、盘活土地资源。</w:t>
      </w:r>
      <w:r>
        <w:rPr>
          <w:rFonts w:hint="eastAsia" w:ascii="Times New Roman" w:hAnsi="Times New Roman" w:eastAsia="仿宋_GB2312"/>
          <w:b/>
          <w:bCs/>
          <w:color w:val="auto"/>
          <w:spacing w:val="-6"/>
          <w:kern w:val="1"/>
          <w:sz w:val="32"/>
          <w:szCs w:val="32"/>
          <w:lang w:val="en-US" w:eastAsia="zh-CN"/>
        </w:rPr>
        <w:t>加快高标准农田建设。</w:t>
      </w:r>
      <w:r>
        <w:rPr>
          <w:rFonts w:ascii="Times New Roman" w:hAnsi="Times New Roman" w:eastAsia="仿宋_GB2312"/>
          <w:color w:val="auto"/>
          <w:spacing w:val="-6"/>
          <w:kern w:val="1"/>
          <w:sz w:val="32"/>
          <w:szCs w:val="32"/>
        </w:rPr>
        <w:t>2021年度4.39万亩建设任务，</w:t>
      </w:r>
      <w:r>
        <w:rPr>
          <w:rFonts w:ascii="Times New Roman" w:hAnsi="Times New Roman" w:eastAsia="仿宋_GB2312"/>
          <w:color w:val="auto"/>
          <w:sz w:val="32"/>
          <w:szCs w:val="32"/>
          <w:shd w:val="clear" w:color="auto" w:fill="FFFFFF"/>
        </w:rPr>
        <w:t>已全部</w:t>
      </w:r>
      <w:r>
        <w:rPr>
          <w:rFonts w:hint="eastAsia" w:ascii="Times New Roman" w:hAnsi="Times New Roman" w:eastAsia="仿宋_GB2312"/>
          <w:color w:val="auto"/>
          <w:sz w:val="32"/>
          <w:szCs w:val="32"/>
          <w:shd w:val="clear" w:color="auto" w:fill="FFFFFF"/>
        </w:rPr>
        <w:t>完工，7月份岳阳验收。</w:t>
      </w:r>
      <w:r>
        <w:rPr>
          <w:rFonts w:ascii="Times New Roman" w:hAnsi="Times New Roman" w:eastAsia="仿宋_GB2312"/>
          <w:color w:val="auto"/>
          <w:sz w:val="32"/>
          <w:szCs w:val="32"/>
          <w:shd w:val="clear" w:color="auto" w:fill="FFFFFF"/>
        </w:rPr>
        <w:t>2022年</w:t>
      </w:r>
      <w:r>
        <w:rPr>
          <w:rFonts w:hint="eastAsia" w:ascii="Times New Roman" w:hAnsi="Times New Roman" w:eastAsia="仿宋_GB2312"/>
          <w:color w:val="auto"/>
          <w:sz w:val="32"/>
          <w:szCs w:val="32"/>
          <w:shd w:val="clear" w:color="auto" w:fill="FFFFFF"/>
        </w:rPr>
        <w:t>4.8万亩</w:t>
      </w:r>
      <w:r>
        <w:rPr>
          <w:rFonts w:ascii="Times New Roman" w:hAnsi="Times New Roman" w:eastAsia="仿宋_GB2312"/>
          <w:color w:val="auto"/>
          <w:sz w:val="32"/>
          <w:szCs w:val="32"/>
          <w:shd w:val="clear" w:color="auto" w:fill="FFFFFF"/>
        </w:rPr>
        <w:t>建设任务</w:t>
      </w:r>
      <w:r>
        <w:rPr>
          <w:rFonts w:hint="eastAsia" w:ascii="Times New Roman" w:hAnsi="Times New Roman" w:eastAsia="仿宋_GB2312"/>
          <w:color w:val="auto"/>
          <w:sz w:val="32"/>
          <w:szCs w:val="32"/>
          <w:shd w:val="clear" w:color="auto" w:fill="FFFFFF"/>
        </w:rPr>
        <w:t>，已</w:t>
      </w:r>
      <w:r>
        <w:rPr>
          <w:rFonts w:ascii="Times New Roman" w:hAnsi="Times New Roman" w:eastAsia="仿宋_GB2312"/>
          <w:color w:val="auto"/>
          <w:spacing w:val="-6"/>
          <w:kern w:val="1"/>
          <w:sz w:val="32"/>
          <w:szCs w:val="32"/>
        </w:rPr>
        <w:t>完成</w:t>
      </w:r>
      <w:r>
        <w:rPr>
          <w:rFonts w:hint="eastAsia" w:ascii="Times New Roman" w:hAnsi="Times New Roman" w:eastAsia="仿宋_GB2312"/>
          <w:color w:val="auto"/>
          <w:spacing w:val="-6"/>
          <w:kern w:val="1"/>
          <w:sz w:val="32"/>
          <w:szCs w:val="32"/>
        </w:rPr>
        <w:t>规划设计，并通过岳阳市专家</w:t>
      </w:r>
      <w:r>
        <w:rPr>
          <w:rFonts w:ascii="Times New Roman" w:hAnsi="Times New Roman" w:eastAsia="仿宋_GB2312"/>
          <w:color w:val="auto"/>
          <w:spacing w:val="-6"/>
          <w:kern w:val="1"/>
          <w:sz w:val="32"/>
          <w:szCs w:val="32"/>
        </w:rPr>
        <w:t>项目评审，</w:t>
      </w:r>
      <w:r>
        <w:rPr>
          <w:rFonts w:hint="eastAsia" w:ascii="Times New Roman" w:hAnsi="Times New Roman" w:eastAsia="仿宋_GB2312"/>
          <w:color w:val="auto"/>
          <w:spacing w:val="-6"/>
          <w:kern w:val="1"/>
          <w:sz w:val="32"/>
          <w:szCs w:val="32"/>
          <w:lang w:val="en-US" w:eastAsia="zh-CN"/>
        </w:rPr>
        <w:t>已于</w:t>
      </w:r>
      <w:r>
        <w:rPr>
          <w:rFonts w:ascii="Times New Roman" w:hAnsi="Times New Roman" w:eastAsia="仿宋_GB2312"/>
          <w:color w:val="auto"/>
          <w:spacing w:val="-6"/>
          <w:kern w:val="1"/>
          <w:sz w:val="32"/>
          <w:szCs w:val="32"/>
        </w:rPr>
        <w:t>10月</w:t>
      </w:r>
      <w:r>
        <w:rPr>
          <w:rFonts w:hint="eastAsia" w:ascii="Times New Roman" w:hAnsi="Times New Roman" w:eastAsia="仿宋_GB2312"/>
          <w:color w:val="auto"/>
          <w:spacing w:val="-6"/>
          <w:kern w:val="1"/>
          <w:sz w:val="32"/>
          <w:szCs w:val="32"/>
        </w:rPr>
        <w:t>25日</w:t>
      </w:r>
      <w:r>
        <w:rPr>
          <w:rFonts w:hint="eastAsia" w:ascii="Times New Roman" w:hAnsi="Times New Roman" w:eastAsia="仿宋_GB2312"/>
          <w:color w:val="auto"/>
          <w:spacing w:val="-6"/>
          <w:kern w:val="1"/>
          <w:sz w:val="32"/>
          <w:szCs w:val="32"/>
          <w:lang w:val="en-US" w:eastAsia="zh-CN"/>
        </w:rPr>
        <w:t>全面</w:t>
      </w:r>
      <w:r>
        <w:rPr>
          <w:rFonts w:ascii="Times New Roman" w:hAnsi="Times New Roman" w:eastAsia="仿宋_GB2312"/>
          <w:color w:val="auto"/>
          <w:spacing w:val="-6"/>
          <w:kern w:val="1"/>
          <w:sz w:val="32"/>
          <w:szCs w:val="32"/>
        </w:rPr>
        <w:t>开工建设</w:t>
      </w:r>
      <w:r>
        <w:rPr>
          <w:rFonts w:ascii="Times New Roman" w:hAnsi="Times New Roman" w:eastAsia="仿宋_GB2312"/>
          <w:color w:val="auto"/>
          <w:sz w:val="32"/>
          <w:szCs w:val="32"/>
        </w:rPr>
        <w:t>。</w:t>
      </w:r>
      <w:r>
        <w:rPr>
          <w:rFonts w:hint="eastAsia" w:ascii="Times New Roman" w:hAnsi="Times New Roman" w:eastAsia="仿宋_GB2312" w:cs="Times New Roman"/>
          <w:color w:val="auto"/>
          <w:sz w:val="32"/>
          <w:szCs w:val="32"/>
          <w:lang w:val="en-US" w:eastAsia="zh-CN"/>
        </w:rPr>
        <w:t>特别是</w:t>
      </w:r>
      <w:r>
        <w:rPr>
          <w:rFonts w:hint="default" w:ascii="Times New Roman" w:hAnsi="Times New Roman" w:eastAsia="仿宋_GB2312" w:cs="Times New Roman"/>
          <w:color w:val="auto"/>
          <w:sz w:val="32"/>
          <w:szCs w:val="32"/>
          <w:lang w:eastAsia="zh-CN"/>
        </w:rPr>
        <w:t>桃林寺镇高丰村引入社会资本</w:t>
      </w:r>
      <w:r>
        <w:rPr>
          <w:rFonts w:hint="eastAsia" w:ascii="Times New Roman" w:hAnsi="Times New Roman" w:eastAsia="仿宋_GB2312" w:cs="Times New Roman"/>
          <w:color w:val="auto"/>
          <w:sz w:val="32"/>
          <w:szCs w:val="32"/>
          <w:lang w:val="en-US" w:eastAsia="zh-CN"/>
        </w:rPr>
        <w:t>开展投资</w:t>
      </w:r>
      <w:r>
        <w:rPr>
          <w:rFonts w:hint="default" w:ascii="Times New Roman" w:hAnsi="Times New Roman" w:eastAsia="仿宋_GB2312" w:cs="Times New Roman"/>
          <w:color w:val="auto"/>
          <w:sz w:val="32"/>
          <w:szCs w:val="32"/>
          <w:lang w:eastAsia="zh-CN"/>
        </w:rPr>
        <w:t>高标准农田</w:t>
      </w:r>
      <w:r>
        <w:rPr>
          <w:rFonts w:hint="eastAsia" w:ascii="Times New Roman" w:hAnsi="Times New Roman" w:eastAsia="仿宋_GB2312" w:cs="Times New Roman"/>
          <w:color w:val="auto"/>
          <w:sz w:val="32"/>
          <w:szCs w:val="32"/>
          <w:lang w:val="en-US" w:eastAsia="zh-CN"/>
        </w:rPr>
        <w:t>“小田改大田”建设，全村增加良田322亩；全村75%以上的水田都种植双季稻全村粮食总产量预计每年增加1000余吨。</w:t>
      </w:r>
      <w:r>
        <w:rPr>
          <w:rFonts w:hint="eastAsia" w:ascii="Times New Roman" w:hAnsi="Times New Roman" w:eastAsia="仿宋_GB2312"/>
          <w:b/>
          <w:bCs/>
          <w:color w:val="auto"/>
          <w:sz w:val="32"/>
          <w:szCs w:val="32"/>
          <w:lang w:val="en-US" w:eastAsia="zh-CN"/>
        </w:rPr>
        <w:t>加快土地有效流转。</w:t>
      </w:r>
      <w:r>
        <w:rPr>
          <w:rFonts w:hint="eastAsia" w:ascii="Times New Roman" w:hAnsi="Times New Roman" w:eastAsia="仿宋_GB2312"/>
          <w:kern w:val="0"/>
          <w:sz w:val="32"/>
          <w:szCs w:val="32"/>
        </w:rPr>
        <w:t>全市签订土地流转合同</w:t>
      </w:r>
      <w:r>
        <w:rPr>
          <w:rFonts w:ascii="Times New Roman" w:hAnsi="Times New Roman" w:eastAsia="仿宋_GB2312"/>
          <w:kern w:val="0"/>
          <w:sz w:val="32"/>
          <w:szCs w:val="32"/>
        </w:rPr>
        <w:t>1948</w:t>
      </w:r>
      <w:r>
        <w:rPr>
          <w:rFonts w:hint="eastAsia" w:ascii="Times New Roman" w:hAnsi="Times New Roman" w:eastAsia="仿宋_GB2312"/>
          <w:kern w:val="0"/>
          <w:sz w:val="32"/>
          <w:szCs w:val="32"/>
        </w:rPr>
        <w:t>份，流转面积31.25万亩，集中流转到经营主体</w:t>
      </w:r>
      <w:r>
        <w:rPr>
          <w:rFonts w:ascii="Times New Roman" w:hAnsi="Times New Roman" w:eastAsia="仿宋_GB2312"/>
          <w:kern w:val="0"/>
          <w:sz w:val="32"/>
          <w:szCs w:val="32"/>
        </w:rPr>
        <w:t>1568</w:t>
      </w:r>
      <w:r>
        <w:rPr>
          <w:rFonts w:hint="eastAsia" w:ascii="Times New Roman" w:hAnsi="Times New Roman" w:eastAsia="仿宋_GB2312"/>
          <w:kern w:val="0"/>
          <w:sz w:val="32"/>
          <w:szCs w:val="32"/>
        </w:rPr>
        <w:t>个，其中整组流转</w:t>
      </w:r>
      <w:r>
        <w:rPr>
          <w:rFonts w:ascii="Times New Roman" w:hAnsi="Times New Roman" w:eastAsia="仿宋_GB2312"/>
          <w:kern w:val="0"/>
          <w:sz w:val="32"/>
          <w:szCs w:val="32"/>
        </w:rPr>
        <w:t>2721</w:t>
      </w:r>
      <w:r>
        <w:rPr>
          <w:rFonts w:hint="eastAsia" w:ascii="Times New Roman" w:hAnsi="Times New Roman" w:eastAsia="仿宋_GB2312"/>
          <w:kern w:val="0"/>
          <w:sz w:val="32"/>
          <w:szCs w:val="32"/>
        </w:rPr>
        <w:t>个，有效流转比例54.78</w:t>
      </w:r>
      <w:r>
        <w:rPr>
          <w:rFonts w:ascii="Times New Roman" w:hAnsi="Times New Roman" w:eastAsia="仿宋_GB2312"/>
          <w:kern w:val="0"/>
          <w:sz w:val="32"/>
          <w:szCs w:val="32"/>
        </w:rPr>
        <w:t>%</w:t>
      </w:r>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加快宅基地改革。</w:t>
      </w:r>
      <w:r>
        <w:rPr>
          <w:rFonts w:hint="eastAsia" w:ascii="Times New Roman" w:hAnsi="Times New Roman" w:eastAsia="仿宋_GB2312"/>
          <w:kern w:val="0"/>
          <w:sz w:val="32"/>
          <w:szCs w:val="32"/>
          <w:lang w:val="en-US" w:eastAsia="zh-CN"/>
        </w:rPr>
        <w:t>完成143个村村庄规划，建立14个村民建房窗口，完成宅基地基础信息调查12.8万宗，入库宅基地信息120810宗，</w:t>
      </w:r>
      <w:r>
        <w:rPr>
          <w:rFonts w:hint="default" w:ascii="Times New Roman" w:hAnsi="Times New Roman" w:eastAsia="仿宋_GB2312"/>
          <w:kern w:val="0"/>
          <w:sz w:val="32"/>
          <w:szCs w:val="32"/>
          <w:lang w:val="en-US" w:eastAsia="zh-CN"/>
        </w:rPr>
        <w:t>摸清历史超面积宅基地29624宗，应收有偿使用费13</w:t>
      </w:r>
      <w:r>
        <w:rPr>
          <w:rFonts w:hint="eastAsia" w:ascii="Times New Roman" w:hAnsi="Times New Roman" w:eastAsia="仿宋_GB2312"/>
          <w:kern w:val="0"/>
          <w:sz w:val="32"/>
          <w:szCs w:val="32"/>
          <w:lang w:val="en-US" w:eastAsia="zh-CN"/>
        </w:rPr>
        <w:t>54</w:t>
      </w:r>
      <w:r>
        <w:rPr>
          <w:rFonts w:hint="default" w:ascii="Times New Roman" w:hAnsi="Times New Roman" w:eastAsia="仿宋_GB2312"/>
          <w:kern w:val="0"/>
          <w:sz w:val="32"/>
          <w:szCs w:val="32"/>
          <w:lang w:val="en-US" w:eastAsia="zh-CN"/>
        </w:rPr>
        <w:t>万元</w:t>
      </w:r>
      <w:r>
        <w:rPr>
          <w:rFonts w:hint="eastAsia" w:ascii="Times New Roman" w:hAnsi="Times New Roman" w:eastAsia="仿宋_GB2312"/>
          <w:kern w:val="0"/>
          <w:sz w:val="32"/>
          <w:szCs w:val="32"/>
          <w:lang w:val="en-US" w:eastAsia="zh-CN"/>
        </w:rPr>
        <w:t>，已收670.2万元。</w:t>
      </w:r>
    </w:p>
    <w:p>
      <w:pPr>
        <w:keepNext w:val="0"/>
        <w:keepLines w:val="0"/>
        <w:pageBreakBefore w:val="0"/>
        <w:numPr>
          <w:ilvl w:val="0"/>
          <w:numId w:val="0"/>
        </w:numPr>
        <w:kinsoku/>
        <w:wordWrap/>
        <w:overflowPunct/>
        <w:topLinePunct w:val="0"/>
        <w:autoSpaceDE/>
        <w:autoSpaceDN/>
        <w:bidi w:val="0"/>
        <w:spacing w:line="580" w:lineRule="exact"/>
        <w:ind w:firstLine="643" w:firstLineChars="200"/>
        <w:jc w:val="both"/>
        <w:textAlignment w:val="auto"/>
        <w:rPr>
          <w:rFonts w:hint="eastAsia" w:ascii="Times New Roman" w:hAnsi="Times New Roman" w:eastAsia="仿宋_GB2312"/>
          <w:color w:val="auto"/>
          <w:sz w:val="32"/>
          <w:szCs w:val="32"/>
          <w:shd w:val="clear" w:color="auto" w:fill="FFFFFF"/>
          <w:lang w:val="en-US" w:eastAsia="zh-CN"/>
        </w:rPr>
      </w:pPr>
      <w:r>
        <w:rPr>
          <w:rFonts w:hint="eastAsia" w:ascii="楷体" w:hAnsi="楷体" w:eastAsia="楷体" w:cs="Times New Roman"/>
          <w:b/>
          <w:kern w:val="2"/>
          <w:sz w:val="32"/>
          <w:szCs w:val="32"/>
          <w:lang w:val="en-US" w:eastAsia="zh-CN" w:bidi="ar-SA"/>
        </w:rPr>
        <w:t>4、推进农村人居环境整治。</w:t>
      </w:r>
      <w:r>
        <w:rPr>
          <w:rFonts w:hint="eastAsia" w:ascii="Times New Roman" w:hAnsi="Times New Roman" w:eastAsia="仿宋_GB2312" w:cs="Times New Roman"/>
          <w:b/>
          <w:bCs/>
          <w:color w:val="auto"/>
          <w:kern w:val="2"/>
          <w:sz w:val="32"/>
          <w:szCs w:val="32"/>
          <w:lang w:val="en-US" w:eastAsia="zh-CN" w:bidi="ar-SA"/>
        </w:rPr>
        <w:t>开展村庄清洁行动。</w:t>
      </w:r>
      <w:r>
        <w:rPr>
          <w:rFonts w:hint="eastAsia" w:ascii="Times New Roman" w:hAnsi="Times New Roman" w:eastAsia="仿宋_GB2312" w:cs="Times New Roman"/>
          <w:color w:val="auto"/>
          <w:kern w:val="2"/>
          <w:sz w:val="32"/>
          <w:szCs w:val="32"/>
          <w:lang w:val="en-US" w:eastAsia="zh-CN" w:bidi="ar-SA"/>
        </w:rPr>
        <w:t>清理农村生活垃圾34720吨，清理村内水塘542口，疏浚沟渠3145公里。</w:t>
      </w:r>
      <w:r>
        <w:rPr>
          <w:rFonts w:hint="eastAsia" w:ascii="Times New Roman" w:hAnsi="Times New Roman" w:eastAsia="仿宋_GB2312" w:cs="Times New Roman"/>
          <w:b/>
          <w:bCs/>
          <w:color w:val="auto"/>
          <w:kern w:val="2"/>
          <w:sz w:val="32"/>
          <w:szCs w:val="32"/>
          <w:lang w:val="en-US" w:eastAsia="zh-CN" w:bidi="ar-SA"/>
        </w:rPr>
        <w:t>推进垃圾分类减量。</w:t>
      </w:r>
      <w:r>
        <w:rPr>
          <w:rFonts w:hint="eastAsia" w:ascii="Times New Roman" w:hAnsi="Times New Roman" w:eastAsia="仿宋_GB2312" w:cs="Times New Roman"/>
          <w:color w:val="auto"/>
          <w:kern w:val="2"/>
          <w:sz w:val="32"/>
          <w:szCs w:val="32"/>
          <w:lang w:val="en-US" w:eastAsia="zh-CN" w:bidi="ar-SA"/>
        </w:rPr>
        <w:t>建立人工湿地就地消纳等减量模式，每个镇突出抓好了1-2个示范村，已完成屈子祠镇、白塘镇白塘村、弼时镇序贤村垃圾分类试点示范。</w:t>
      </w:r>
      <w:r>
        <w:rPr>
          <w:rFonts w:hint="eastAsia" w:ascii="Times New Roman" w:hAnsi="Times New Roman" w:eastAsia="仿宋_GB2312" w:cs="Times New Roman"/>
          <w:b/>
          <w:bCs/>
          <w:color w:val="auto"/>
          <w:kern w:val="2"/>
          <w:sz w:val="32"/>
          <w:szCs w:val="32"/>
          <w:lang w:val="en-US" w:eastAsia="zh-CN" w:bidi="ar-SA"/>
        </w:rPr>
        <w:t>强化示范引领。</w:t>
      </w:r>
      <w:r>
        <w:rPr>
          <w:rFonts w:hint="eastAsia" w:ascii="Times New Roman" w:hAnsi="Times New Roman" w:eastAsia="仿宋_GB2312"/>
          <w:color w:val="auto"/>
          <w:sz w:val="32"/>
          <w:szCs w:val="32"/>
          <w:shd w:val="clear" w:color="auto" w:fill="FFFFFF"/>
          <w:lang w:val="en-US" w:eastAsia="zh-CN"/>
        </w:rPr>
        <w:t>打造了</w:t>
      </w:r>
      <w:r>
        <w:rPr>
          <w:rFonts w:hint="eastAsia" w:ascii="Times New Roman" w:hAnsi="Times New Roman" w:eastAsia="仿宋_GB2312"/>
          <w:color w:val="auto"/>
          <w:sz w:val="32"/>
          <w:szCs w:val="32"/>
          <w:shd w:val="clear" w:color="auto" w:fill="FFFFFF"/>
        </w:rPr>
        <w:t>汨罗镇瞭家社区、武夷山村，白水镇西长、王家坪、唐家山片，屈子祠镇金山村、桃林寺镇三新村</w:t>
      </w:r>
      <w:r>
        <w:rPr>
          <w:rFonts w:hint="eastAsia" w:ascii="Times New Roman" w:hAnsi="Times New Roman" w:eastAsia="仿宋_GB2312"/>
          <w:color w:val="auto"/>
          <w:sz w:val="32"/>
          <w:szCs w:val="32"/>
          <w:shd w:val="clear" w:color="auto" w:fill="FFFFFF"/>
          <w:lang w:val="en-US" w:eastAsia="zh-CN"/>
        </w:rPr>
        <w:t>等六</w:t>
      </w:r>
      <w:r>
        <w:rPr>
          <w:rFonts w:hint="eastAsia" w:ascii="Times New Roman" w:hAnsi="Times New Roman" w:eastAsia="仿宋_GB2312"/>
          <w:color w:val="auto"/>
          <w:sz w:val="32"/>
          <w:szCs w:val="32"/>
          <w:shd w:val="clear" w:color="auto" w:fill="FFFFFF"/>
        </w:rPr>
        <w:t>个乡村振兴示范创建村（片）</w:t>
      </w:r>
      <w:r>
        <w:rPr>
          <w:rFonts w:hint="eastAsia" w:ascii="Times New Roman" w:hAnsi="Times New Roman" w:eastAsia="仿宋_GB2312"/>
          <w:color w:val="auto"/>
          <w:sz w:val="32"/>
          <w:szCs w:val="32"/>
          <w:shd w:val="clear" w:color="auto" w:fill="FFFFFF"/>
          <w:lang w:val="en-US" w:eastAsia="zh-CN"/>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楷体" w:hAnsi="楷体" w:eastAsia="楷体" w:cs="Times New Roman"/>
          <w:b/>
          <w:kern w:val="2"/>
          <w:sz w:val="32"/>
          <w:szCs w:val="32"/>
          <w:lang w:val="en-US" w:eastAsia="zh-CN" w:bidi="ar-SA"/>
        </w:rPr>
        <w:t>5、壮大集体经济。</w:t>
      </w:r>
      <w:r>
        <w:rPr>
          <w:rFonts w:hint="eastAsia" w:ascii="Times New Roman" w:hAnsi="Times New Roman" w:eastAsia="仿宋_GB2312" w:cs="Times New Roman"/>
          <w:sz w:val="32"/>
          <w:szCs w:val="32"/>
        </w:rPr>
        <w:t>对全市1</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个镇1</w:t>
      </w:r>
      <w:r>
        <w:rPr>
          <w:rFonts w:hint="eastAsia" w:ascii="Times New Roman" w:hAnsi="Times New Roman" w:eastAsia="仿宋_GB2312" w:cs="Times New Roman"/>
          <w:sz w:val="32"/>
          <w:szCs w:val="32"/>
          <w:lang w:val="en-US" w:eastAsia="zh-CN"/>
        </w:rPr>
        <w:t>54</w:t>
      </w:r>
      <w:r>
        <w:rPr>
          <w:rFonts w:hint="eastAsia" w:ascii="Times New Roman" w:hAnsi="Times New Roman" w:eastAsia="仿宋_GB2312" w:cs="Times New Roman"/>
          <w:sz w:val="32"/>
          <w:szCs w:val="32"/>
        </w:rPr>
        <w:t>个村2021年村集体经营性收入和2022年村集体经济产业发展情况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进行多次摸底调查，基本</w:t>
      </w:r>
      <w:r>
        <w:rPr>
          <w:rFonts w:hint="eastAsia" w:ascii="Times New Roman" w:hAnsi="Times New Roman" w:eastAsia="仿宋_GB2312" w:cs="Times New Roman"/>
          <w:sz w:val="32"/>
          <w:szCs w:val="32"/>
          <w:lang w:val="en-US" w:eastAsia="zh-CN"/>
        </w:rPr>
        <w:t>掌握</w:t>
      </w:r>
      <w:r>
        <w:rPr>
          <w:rFonts w:hint="eastAsia" w:ascii="Times New Roman" w:hAnsi="Times New Roman" w:eastAsia="仿宋_GB2312" w:cs="Times New Roman"/>
          <w:sz w:val="32"/>
          <w:szCs w:val="32"/>
        </w:rPr>
        <w:t>各村集体经济发展相关情况，</w:t>
      </w:r>
      <w:r>
        <w:rPr>
          <w:rFonts w:hint="eastAsia" w:ascii="Times New Roman" w:hAnsi="Times New Roman" w:eastAsia="仿宋_GB2312" w:cs="Times New Roman"/>
          <w:sz w:val="32"/>
          <w:szCs w:val="32"/>
          <w:lang w:val="en-US" w:eastAsia="zh-CN"/>
        </w:rPr>
        <w:t>完善“村级集体经济建档立卡信息表”154份</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napToGrid w:val="0"/>
        <w:spacing w:line="580" w:lineRule="exact"/>
        <w:ind w:firstLine="643" w:firstLineChars="200"/>
        <w:jc w:val="both"/>
        <w:textAlignment w:val="auto"/>
        <w:rPr>
          <w:rFonts w:hint="eastAsia" w:ascii="Times New Roman" w:hAnsi="Times New Roman" w:eastAsia="仿宋_GB2312" w:cs="仿宋_GB2312"/>
          <w:color w:val="auto"/>
          <w:spacing w:val="-6"/>
          <w:sz w:val="32"/>
          <w:szCs w:val="32"/>
          <w:lang w:val="en-US" w:eastAsia="zh-CN"/>
        </w:rPr>
      </w:pPr>
      <w:r>
        <w:rPr>
          <w:rFonts w:hint="eastAsia" w:ascii="楷体" w:hAnsi="楷体" w:eastAsia="楷体" w:cs="Times New Roman"/>
          <w:b/>
          <w:kern w:val="2"/>
          <w:sz w:val="32"/>
          <w:szCs w:val="32"/>
          <w:lang w:val="en-US" w:eastAsia="zh-CN" w:bidi="ar-SA"/>
        </w:rPr>
        <w:t>6、加强农业面源污染治理。</w:t>
      </w:r>
      <w:r>
        <w:rPr>
          <w:rFonts w:hint="eastAsia" w:ascii="仿宋_GB2312" w:hAnsi="Times New Roman" w:eastAsia="仿宋_GB2312" w:cs="Times New Roman"/>
          <w:b/>
          <w:bCs/>
          <w:color w:val="000000"/>
          <w:kern w:val="0"/>
          <w:sz w:val="32"/>
          <w:szCs w:val="32"/>
          <w:lang w:val="en-US" w:eastAsia="zh-CN" w:bidi="ar-SA"/>
        </w:rPr>
        <w:t>落实禁捕退捕工作。</w:t>
      </w:r>
      <w:r>
        <w:rPr>
          <w:rFonts w:hint="default" w:ascii="Times New Roman" w:hAnsi="Times New Roman" w:eastAsia="仿宋_GB2312" w:cs="Times New Roman"/>
          <w:color w:val="auto"/>
          <w:sz w:val="32"/>
          <w:szCs w:val="32"/>
          <w:lang w:val="en-US" w:eastAsia="zh-CN"/>
        </w:rPr>
        <w:t>建立</w:t>
      </w:r>
      <w:r>
        <w:rPr>
          <w:rFonts w:hint="eastAsia"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10个渔政执法监控值守点，护渔员24小时蹲点驻守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全流域设14个“智慧渔政”热成像云台点位，8个人脸识别卡口点位，实现人机联防联控网格化管理。</w:t>
      </w:r>
      <w:r>
        <w:rPr>
          <w:rFonts w:hint="eastAsia" w:ascii="仿宋_GB2312" w:hAnsi="Times New Roman" w:eastAsia="仿宋_GB2312" w:cs="Times New Roman"/>
          <w:b/>
          <w:bCs/>
          <w:color w:val="000000"/>
          <w:kern w:val="0"/>
          <w:sz w:val="32"/>
          <w:szCs w:val="32"/>
          <w:lang w:val="en-US" w:eastAsia="zh-CN" w:bidi="ar-SA"/>
        </w:rPr>
        <w:t>推进畜禽水产养殖污染治理。</w:t>
      </w:r>
      <w:r>
        <w:rPr>
          <w:rFonts w:hint="eastAsia" w:ascii="Times New Roman" w:eastAsia="仿宋_GB2312"/>
          <w:color w:val="auto"/>
          <w:sz w:val="32"/>
          <w:szCs w:val="32"/>
        </w:rPr>
        <w:t>完</w:t>
      </w:r>
      <w:r>
        <w:rPr>
          <w:rFonts w:hint="default" w:ascii="Times New Roman" w:hAnsi="Times New Roman" w:eastAsia="仿宋_GB2312" w:cs="Times New Roman"/>
          <w:color w:val="auto"/>
          <w:sz w:val="32"/>
          <w:szCs w:val="32"/>
        </w:rPr>
        <w:t>善</w:t>
      </w:r>
      <w:r>
        <w:rPr>
          <w:rFonts w:hint="eastAsia"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293个规模养殖场配套设施建设及消纳基地资源化利用，</w:t>
      </w:r>
      <w:r>
        <w:rPr>
          <w:rFonts w:hint="default" w:ascii="Times New Roman" w:hAnsi="Times New Roman" w:eastAsia="仿宋_GB2312" w:cs="Times New Roman"/>
          <w:color w:val="auto"/>
          <w:sz w:val="32"/>
          <w:szCs w:val="32"/>
          <w:lang w:val="en-US" w:eastAsia="zh-CN"/>
        </w:rPr>
        <w:t>畜禽粪污资源化率达90%以</w:t>
      </w:r>
      <w:r>
        <w:rPr>
          <w:rFonts w:hint="default" w:ascii="Times New Roman" w:hAnsi="Times New Roman" w:eastAsia="仿宋_GB2312" w:cs="Times New Roman"/>
          <w:color w:val="auto"/>
          <w:kern w:val="2"/>
          <w:sz w:val="32"/>
          <w:szCs w:val="32"/>
          <w:lang w:val="en-US" w:eastAsia="zh-CN" w:bidi="ar-SA"/>
        </w:rPr>
        <w:t>上</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b/>
          <w:bCs/>
          <w:color w:val="000000"/>
          <w:kern w:val="0"/>
          <w:sz w:val="32"/>
          <w:szCs w:val="32"/>
          <w:lang w:val="en-US" w:eastAsia="zh-CN" w:bidi="ar-SA"/>
        </w:rPr>
        <w:t>持续开展</w:t>
      </w:r>
      <w:r>
        <w:rPr>
          <w:rFonts w:hint="default" w:ascii="仿宋_GB2312" w:hAnsi="Times New Roman" w:eastAsia="仿宋_GB2312" w:cs="Times New Roman"/>
          <w:b/>
          <w:bCs/>
          <w:color w:val="000000"/>
          <w:kern w:val="0"/>
          <w:sz w:val="32"/>
          <w:szCs w:val="32"/>
          <w:lang w:val="en-US" w:eastAsia="zh-CN" w:bidi="ar-SA"/>
        </w:rPr>
        <w:t>农药化肥减量</w:t>
      </w:r>
      <w:r>
        <w:rPr>
          <w:rFonts w:hint="eastAsia" w:ascii="仿宋_GB2312" w:hAnsi="Times New Roman" w:eastAsia="仿宋_GB2312" w:cs="Times New Roman"/>
          <w:b/>
          <w:bCs/>
          <w:color w:val="000000"/>
          <w:kern w:val="0"/>
          <w:sz w:val="32"/>
          <w:szCs w:val="32"/>
          <w:lang w:val="en-US" w:eastAsia="zh-CN" w:bidi="ar-SA"/>
        </w:rPr>
        <w:t>。</w:t>
      </w:r>
      <w:r>
        <w:rPr>
          <w:rFonts w:hint="eastAsia" w:ascii="Times New Roman" w:hAnsi="Times New Roman" w:eastAsia="仿宋_GB2312" w:cs="Times New Roman"/>
          <w:color w:val="auto"/>
          <w:sz w:val="32"/>
          <w:szCs w:val="32"/>
          <w:lang w:val="en-US" w:eastAsia="zh-CN"/>
        </w:rPr>
        <w:t>全市推广测土配方施肥技术应用覆盖面积97.7万亩，完成2022年度汨罗市绿色种养循环农业试点项目实施面积8.8万亩，推广商品有机肥8254.85吨。</w:t>
      </w:r>
      <w:r>
        <w:rPr>
          <w:rFonts w:hint="eastAsia" w:ascii="仿宋_GB2312" w:hAnsi="Times New Roman" w:eastAsia="仿宋_GB2312" w:cs="Times New Roman"/>
          <w:b/>
          <w:bCs/>
          <w:color w:val="000000"/>
          <w:kern w:val="0"/>
          <w:sz w:val="32"/>
          <w:szCs w:val="32"/>
          <w:lang w:val="en-US" w:eastAsia="zh-CN" w:bidi="ar-SA"/>
        </w:rPr>
        <w:t>开展农膜回收利用。</w:t>
      </w:r>
      <w:r>
        <w:rPr>
          <w:rFonts w:hint="eastAsia" w:ascii="仿宋_GB2312" w:hAnsi="仿宋_GB2312" w:eastAsia="仿宋_GB2312" w:cs="仿宋_GB2312"/>
          <w:color w:val="auto"/>
          <w:sz w:val="32"/>
          <w:szCs w:val="32"/>
          <w:lang w:val="en-US" w:eastAsia="zh-CN"/>
        </w:rPr>
        <w:t>出台了《汨罗市农用薄膜回收利用工作方案》，</w:t>
      </w:r>
      <w:r>
        <w:rPr>
          <w:rFonts w:hint="default" w:ascii="Times New Roman" w:hAnsi="Times New Roman" w:eastAsia="仿宋_GB2312" w:cs="Times New Roman"/>
          <w:color w:val="auto"/>
          <w:spacing w:val="-6"/>
          <w:sz w:val="32"/>
          <w:szCs w:val="32"/>
        </w:rPr>
        <w:t>回收农膜</w:t>
      </w:r>
      <w:r>
        <w:rPr>
          <w:rFonts w:hint="eastAsia"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废弃抛秧盘</w:t>
      </w:r>
      <w:r>
        <w:rPr>
          <w:rFonts w:hint="default" w:ascii="Times New Roman" w:hAnsi="Times New Roman" w:eastAsia="仿宋_GB2312" w:cs="Times New Roman"/>
          <w:color w:val="auto"/>
          <w:spacing w:val="-6"/>
          <w:sz w:val="32"/>
          <w:szCs w:val="32"/>
          <w:lang w:val="en-US" w:eastAsia="zh-CN"/>
        </w:rPr>
        <w:t>1</w:t>
      </w:r>
      <w:r>
        <w:rPr>
          <w:rFonts w:hint="eastAsia" w:ascii="Times New Roman" w:hAnsi="Times New Roman" w:eastAsia="仿宋_GB2312" w:cs="Times New Roman"/>
          <w:color w:val="auto"/>
          <w:spacing w:val="-6"/>
          <w:sz w:val="32"/>
          <w:szCs w:val="32"/>
          <w:lang w:val="en-US" w:eastAsia="zh-CN"/>
        </w:rPr>
        <w:t>00多</w:t>
      </w:r>
      <w:r>
        <w:rPr>
          <w:rFonts w:hint="default" w:ascii="Times New Roman" w:hAnsi="Times New Roman" w:eastAsia="仿宋_GB2312" w:cs="Times New Roman"/>
          <w:color w:val="auto"/>
          <w:spacing w:val="-6"/>
          <w:sz w:val="32"/>
          <w:szCs w:val="32"/>
        </w:rPr>
        <w:t>吨</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z w:val="32"/>
          <w:szCs w:val="32"/>
          <w:lang w:val="en-US" w:eastAsia="zh-CN"/>
        </w:rPr>
        <w:t>力争</w:t>
      </w:r>
      <w:r>
        <w:rPr>
          <w:rFonts w:hint="default" w:ascii="Times New Roman" w:hAnsi="Times New Roman" w:eastAsia="仿宋_GB2312" w:cs="Times New Roman"/>
          <w:color w:val="auto"/>
          <w:sz w:val="32"/>
          <w:szCs w:val="32"/>
          <w:shd w:val="clear" w:color="auto" w:fill="FFFFFF"/>
        </w:rPr>
        <w:t>年底全市废旧农用薄膜回收利用率81%以上、无害化处理率</w:t>
      </w:r>
      <w:r>
        <w:rPr>
          <w:rFonts w:hint="eastAsia" w:ascii="Times New Roman" w:hAnsi="Times New Roman" w:eastAsia="仿宋_GB2312" w:cs="Times New Roman"/>
          <w:color w:val="auto"/>
          <w:sz w:val="32"/>
          <w:szCs w:val="32"/>
          <w:shd w:val="clear" w:color="auto" w:fill="FFFFFF"/>
          <w:lang w:val="en-US" w:eastAsia="zh-CN"/>
        </w:rPr>
        <w:t>达</w:t>
      </w:r>
      <w:r>
        <w:rPr>
          <w:rFonts w:hint="default" w:ascii="Times New Roman" w:hAnsi="Times New Roman" w:eastAsia="仿宋_GB2312" w:cs="Times New Roman"/>
          <w:color w:val="auto"/>
          <w:sz w:val="32"/>
          <w:szCs w:val="32"/>
          <w:shd w:val="clear" w:color="auto" w:fill="FFFFFF"/>
        </w:rPr>
        <w:t>100%</w:t>
      </w:r>
      <w:r>
        <w:rPr>
          <w:rFonts w:hint="eastAsia" w:ascii="Times New Roman" w:hAnsi="Times New Roman" w:eastAsia="仿宋_GB2312"/>
          <w:color w:val="auto"/>
          <w:sz w:val="32"/>
          <w:szCs w:val="32"/>
          <w:shd w:val="clear" w:color="auto" w:fill="FFFFFF"/>
          <w:lang w:eastAsia="zh-CN"/>
        </w:rPr>
        <w:t>。</w:t>
      </w:r>
      <w:r>
        <w:rPr>
          <w:rFonts w:hint="eastAsia" w:ascii="仿宋_GB2312" w:hAnsi="Times New Roman" w:eastAsia="仿宋_GB2312" w:cs="Times New Roman"/>
          <w:b/>
          <w:bCs/>
          <w:color w:val="000000"/>
          <w:kern w:val="0"/>
          <w:sz w:val="32"/>
          <w:szCs w:val="32"/>
          <w:lang w:val="en-US" w:eastAsia="zh-CN" w:bidi="ar-SA"/>
        </w:rPr>
        <w:t>落实受污染耕地安全利用。</w:t>
      </w:r>
      <w:r>
        <w:rPr>
          <w:rFonts w:hint="eastAsia" w:ascii="Times New Roman" w:hAnsi="Times New Roman" w:eastAsia="仿宋_GB2312" w:cs="仿宋_GB2312"/>
          <w:color w:val="auto"/>
          <w:spacing w:val="-6"/>
          <w:sz w:val="32"/>
          <w:szCs w:val="32"/>
          <w:lang w:val="en-US" w:eastAsia="zh-CN"/>
        </w:rPr>
        <w:t>全市1050亩重度污染耕地，已向省厅上报降镉中稻品种试验备案管理资料，我市剩余的重度污染耕地实行种植结构调整等风险管控措施，2022年受污染耕地安全利用率达到90%以上。</w:t>
      </w:r>
    </w:p>
    <w:p>
      <w:pPr>
        <w:numPr>
          <w:ilvl w:val="0"/>
          <w:numId w:val="0"/>
        </w:numPr>
        <w:spacing w:line="600" w:lineRule="exact"/>
        <w:ind w:firstLine="643" w:firstLineChars="200"/>
        <w:jc w:val="both"/>
        <w:rPr>
          <w:rFonts w:hint="eastAsia" w:eastAsia="仿宋_GB2312"/>
          <w:kern w:val="0"/>
          <w:sz w:val="32"/>
          <w:szCs w:val="32"/>
          <w:highlight w:val="none"/>
          <w:lang w:val="en-US" w:eastAsia="zh-CN"/>
        </w:rPr>
      </w:pPr>
      <w:r>
        <w:rPr>
          <w:rFonts w:hint="eastAsia" w:ascii="楷体" w:hAnsi="楷体" w:eastAsia="楷体" w:cs="Times New Roman"/>
          <w:b/>
          <w:sz w:val="32"/>
          <w:szCs w:val="32"/>
          <w:lang w:val="en-US" w:eastAsia="zh-CN"/>
        </w:rPr>
        <w:t>7、落实行业安全监管。</w:t>
      </w:r>
      <w:r>
        <w:rPr>
          <w:rFonts w:hint="eastAsia" w:ascii="Times New Roman" w:hAnsi="Times New Roman" w:eastAsia="仿宋_GB2312" w:cs="仿宋_GB2312"/>
          <w:b/>
          <w:bCs/>
          <w:color w:val="auto"/>
          <w:spacing w:val="-6"/>
          <w:sz w:val="32"/>
          <w:szCs w:val="32"/>
          <w:lang w:val="en-US" w:eastAsia="zh-CN"/>
        </w:rPr>
        <w:t>抓农资安全。</w:t>
      </w:r>
      <w:r>
        <w:rPr>
          <w:rFonts w:hint="eastAsia" w:ascii="Times New Roman" w:hAnsi="Times New Roman" w:eastAsia="仿宋_GB2312" w:cs="仿宋_GB2312"/>
          <w:color w:val="auto"/>
          <w:spacing w:val="-6"/>
          <w:sz w:val="32"/>
          <w:szCs w:val="32"/>
          <w:lang w:val="en-US" w:eastAsia="zh-CN"/>
        </w:rPr>
        <w:t>共检查水稻、玉米品种100多个，种子标签100余份；检查农药和兽药产品100多个、农药和兽药标签100多份；查复合肥料产品40多个，抽取样品20多个。整改不规范农药经营门店2个，下达责令改正通知书11份。</w:t>
      </w:r>
      <w:r>
        <w:rPr>
          <w:rFonts w:hint="eastAsia" w:ascii="Times New Roman" w:hAnsi="Times New Roman" w:eastAsia="仿宋_GB2312" w:cs="仿宋_GB2312"/>
          <w:b/>
          <w:bCs/>
          <w:color w:val="auto"/>
          <w:spacing w:val="-6"/>
          <w:sz w:val="32"/>
          <w:szCs w:val="32"/>
          <w:lang w:val="en-US" w:eastAsia="zh-CN"/>
        </w:rPr>
        <w:t>抓农产品质量安全。</w:t>
      </w:r>
      <w:r>
        <w:rPr>
          <w:rFonts w:hint="eastAsia" w:ascii="Times New Roman" w:hAnsi="Times New Roman" w:eastAsia="仿宋_GB2312" w:cs="仿宋_GB2312"/>
          <w:color w:val="auto"/>
          <w:spacing w:val="-6"/>
          <w:sz w:val="32"/>
          <w:szCs w:val="32"/>
          <w:lang w:val="en-US" w:eastAsia="zh-CN"/>
        </w:rPr>
        <w:t>对完成国家农产品质量安全追溯管理平台主体入驻、更新，全市生产经营主体573家（在经营）。定量检测样品94个，合格率为97.87％；快速检测样品1352个，其中蔬合格率为100%。</w:t>
      </w:r>
      <w:r>
        <w:rPr>
          <w:rFonts w:hint="eastAsia" w:ascii="Times New Roman" w:hAnsi="Times New Roman" w:eastAsia="仿宋_GB2312" w:cs="仿宋_GB2312"/>
          <w:b/>
          <w:bCs/>
          <w:color w:val="auto"/>
          <w:spacing w:val="-6"/>
          <w:sz w:val="32"/>
          <w:szCs w:val="32"/>
          <w:lang w:val="en-US" w:eastAsia="zh-CN"/>
        </w:rPr>
        <w:t>抓农机安全。</w:t>
      </w:r>
      <w:r>
        <w:rPr>
          <w:rFonts w:hint="eastAsia" w:ascii="Times New Roman" w:hAnsi="Times New Roman" w:eastAsia="仿宋_GB2312" w:cs="仿宋_GB2312"/>
          <w:color w:val="auto"/>
          <w:spacing w:val="-6"/>
          <w:sz w:val="32"/>
          <w:szCs w:val="32"/>
          <w:lang w:val="en-US" w:eastAsia="zh-CN"/>
        </w:rPr>
        <w:t>开展了19次联合行动，查处拖拉机违法行为38起。</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目前我单位存在以下问题：</w:t>
      </w:r>
    </w:p>
    <w:p>
      <w:pPr>
        <w:numPr>
          <w:ilvl w:val="0"/>
          <w:numId w:val="4"/>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因临时性的工作任务经费需追加，导致年初预算编制与实际收入支出有差异。</w:t>
      </w:r>
    </w:p>
    <w:p>
      <w:pPr>
        <w:numPr>
          <w:ilvl w:val="0"/>
          <w:numId w:val="4"/>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部分单位固定资产管理不规范，未按固定资产管理制度对固定资产进行年度盘点，期末固定资产台账和财务报表不相符，固定资产标签粘贴不完整，固定资产未有专人管理。</w:t>
      </w:r>
    </w:p>
    <w:p>
      <w:pPr>
        <w:numPr>
          <w:ilvl w:val="0"/>
          <w:numId w:val="5"/>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numPr>
          <w:ilvl w:val="0"/>
          <w:numId w:val="0"/>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1、规范财务运行，加强预算支出管理。严格遵循</w:t>
      </w:r>
      <w:r>
        <w:rPr>
          <w:rFonts w:hint="default" w:eastAsia="仿宋_GB2312"/>
          <w:kern w:val="0"/>
          <w:sz w:val="32"/>
          <w:szCs w:val="32"/>
          <w:lang w:val="en-US" w:eastAsia="zh-CN"/>
        </w:rPr>
        <w:t>“</w:t>
      </w:r>
      <w:r>
        <w:rPr>
          <w:rFonts w:hint="eastAsia" w:eastAsia="仿宋_GB2312"/>
          <w:kern w:val="0"/>
          <w:sz w:val="32"/>
          <w:szCs w:val="32"/>
          <w:lang w:val="en-US" w:eastAsia="zh-CN"/>
        </w:rPr>
        <w:t>先有预算，后有支出</w:t>
      </w:r>
      <w:r>
        <w:rPr>
          <w:rFonts w:hint="default" w:eastAsia="仿宋_GB2312"/>
          <w:kern w:val="0"/>
          <w:sz w:val="32"/>
          <w:szCs w:val="32"/>
          <w:lang w:val="en-US" w:eastAsia="zh-CN"/>
        </w:rPr>
        <w:t>”</w:t>
      </w:r>
      <w:r>
        <w:rPr>
          <w:rFonts w:hint="eastAsia" w:eastAsia="仿宋_GB2312"/>
          <w:kern w:val="0"/>
          <w:sz w:val="32"/>
          <w:szCs w:val="32"/>
          <w:lang w:val="en-US" w:eastAsia="zh-CN"/>
        </w:rPr>
        <w:t>的原则，在资金支付管理方面，严格按照规定程序向财政部门申请用款，在财政部门批复的支出预算资金范围内，申请使用一般预算支出经费。</w:t>
      </w:r>
    </w:p>
    <w:p>
      <w:pPr>
        <w:numPr>
          <w:ilvl w:val="0"/>
          <w:numId w:val="0"/>
        </w:numPr>
        <w:spacing w:line="600" w:lineRule="exact"/>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2、进一步加强项目管理，对项目的申报、实施、验收等环节进行监督检查，使得资金发挥最大的效用。</w:t>
      </w:r>
    </w:p>
    <w:p>
      <w:pPr>
        <w:numPr>
          <w:ilvl w:val="0"/>
          <w:numId w:val="0"/>
        </w:numPr>
        <w:spacing w:line="600" w:lineRule="exact"/>
        <w:jc w:val="both"/>
        <w:rPr>
          <w:rFonts w:hint="default" w:eastAsia="仿宋_GB2312"/>
          <w:kern w:val="0"/>
          <w:sz w:val="32"/>
          <w:szCs w:val="32"/>
          <w:lang w:val="en-US" w:eastAsia="zh-CN"/>
        </w:rPr>
      </w:pPr>
      <w:r>
        <w:rPr>
          <w:rFonts w:hint="eastAsia" w:eastAsia="仿宋_GB2312"/>
          <w:kern w:val="0"/>
          <w:sz w:val="32"/>
          <w:szCs w:val="32"/>
          <w:lang w:val="en-US" w:eastAsia="zh-CN"/>
        </w:rPr>
        <w:t xml:space="preserve">        3、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pPr>
        <w:numPr>
          <w:ilvl w:val="0"/>
          <w:numId w:val="5"/>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部门整体支出绩效自评结果按照上级要求统一公开到相关网站。</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报告应包括以下附件：</w:t>
      </w:r>
    </w:p>
    <w:p>
      <w:pPr>
        <w:numPr>
          <w:ilvl w:val="0"/>
          <w:numId w:val="6"/>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部门整体支出绩效评级基础数据表</w:t>
      </w:r>
    </w:p>
    <w:p>
      <w:pPr>
        <w:numPr>
          <w:ilvl w:val="0"/>
          <w:numId w:val="6"/>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部门整体支出绩效自评表</w:t>
      </w:r>
    </w:p>
    <w:p>
      <w:pPr>
        <w:numPr>
          <w:ilvl w:val="0"/>
          <w:numId w:val="6"/>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项目支出绩效自评表（本级30万以上项目各一张表）</w:t>
      </w:r>
    </w:p>
    <w:p>
      <w:pPr>
        <w:numPr>
          <w:ilvl w:val="0"/>
          <w:numId w:val="6"/>
        </w:numPr>
        <w:spacing w:line="600" w:lineRule="exact"/>
        <w:ind w:left="0" w:leftChars="0"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政府性基金预算支出情况表（无）</w:t>
      </w:r>
    </w:p>
    <w:p>
      <w:pPr>
        <w:numPr>
          <w:ilvl w:val="0"/>
          <w:numId w:val="6"/>
        </w:numPr>
        <w:spacing w:line="600" w:lineRule="exact"/>
        <w:ind w:left="0" w:leftChars="0"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国有资本经营预算支出情况表（无）</w:t>
      </w:r>
    </w:p>
    <w:p>
      <w:pPr>
        <w:numPr>
          <w:ilvl w:val="0"/>
          <w:numId w:val="6"/>
        </w:numPr>
        <w:spacing w:line="600" w:lineRule="exact"/>
        <w:ind w:left="0" w:leftChars="0"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社会保险基金预算支出情况表（无）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jc w:val="both"/>
        <w:rPr>
          <w:rFonts w:hint="eastAsia" w:eastAsia="仿宋_GB2312"/>
          <w:kern w:val="0"/>
          <w:sz w:val="32"/>
          <w:szCs w:val="32"/>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bookmarkStart w:id="0" w:name="_GoBack"/>
      <w:bookmarkEnd w:id="0"/>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农村户用卫生厕所改建</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rFonts w:hint="eastAsia"/>
          <w:spacing w:val="-13"/>
          <w:position w:val="26"/>
          <w:sz w:val="27"/>
          <w:szCs w:val="27"/>
          <w:lang w:val="en-US" w:eastAsia="zh-CN"/>
        </w:rPr>
        <w:t xml:space="preserve"> 15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3"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2022年1月5日汩罗市财政局关于批复2022年部门预算的通知（汩财发【2022】1号）下达我局农村户村厕所改建和污水处理专项800万元,本预算批复的依据是为深入贯彻落实习近平总书记关于“厕所革命”的重要指示精神，按照中央、省《农村人居环境整治三年行动方案》、《2019年湖南省农村户用卫生厕所（新）建工作方案》（湘农联【2019】31号）文件精神。</w:t>
      </w:r>
      <w:r>
        <w:rPr>
          <w:rFonts w:hint="eastAsia" w:eastAsia="仿宋_GB2312"/>
          <w:kern w:val="0"/>
          <w:sz w:val="32"/>
          <w:szCs w:val="32"/>
          <w:lang w:val="en-US" w:eastAsia="zh-CN"/>
        </w:rPr>
        <w:t>主要包括项目支出决策背景及其主要内容。</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年度内本预算资金主要用于农村无害化卫生厕所新建费用，也未统筹和自筹其他资金</w:t>
      </w:r>
      <w:r>
        <w:rPr>
          <w:rFonts w:hint="eastAsia" w:eastAsia="仿宋_GB2312"/>
          <w:kern w:val="0"/>
          <w:sz w:val="32"/>
          <w:szCs w:val="32"/>
          <w:lang w:val="en-US" w:eastAsia="zh-CN"/>
        </w:rPr>
        <w:t>；</w:t>
      </w:r>
      <w:r>
        <w:rPr>
          <w:rFonts w:hint="eastAsia" w:eastAsia="仿宋_GB2312"/>
          <w:kern w:val="0"/>
          <w:sz w:val="32"/>
          <w:szCs w:val="32"/>
          <w:lang w:val="en-US" w:eastAsia="en-US"/>
        </w:rPr>
        <w:t>资金全部使用完毕</w:t>
      </w:r>
      <w:r>
        <w:rPr>
          <w:rFonts w:hint="eastAsia" w:eastAsia="仿宋_GB2312"/>
          <w:kern w:val="0"/>
          <w:sz w:val="32"/>
          <w:szCs w:val="32"/>
          <w:lang w:val="en-US" w:eastAsia="zh-CN"/>
        </w:rPr>
        <w:t>；</w:t>
      </w:r>
      <w:r>
        <w:rPr>
          <w:rFonts w:hint="eastAsia" w:eastAsia="仿宋_GB2312"/>
          <w:kern w:val="0"/>
          <w:sz w:val="32"/>
          <w:szCs w:val="32"/>
          <w:lang w:val="en-US" w:eastAsia="en-US"/>
        </w:rPr>
        <w:t>年度预算下达后，我局严格按照汨罗市人民政府相关预算资金支出管理制度及相关办法执行，未挪用和截留项目资金，且指定一名负责干部，安排专门股室负责此项具体工作。每一笔</w:t>
      </w:r>
      <w:r>
        <w:rPr>
          <w:rFonts w:hint="eastAsia" w:eastAsia="仿宋_GB2312"/>
          <w:kern w:val="0"/>
          <w:sz w:val="32"/>
          <w:szCs w:val="32"/>
          <w:lang w:val="en-US" w:eastAsia="zh-CN"/>
        </w:rPr>
        <w:t>专项</w:t>
      </w:r>
      <w:r>
        <w:rPr>
          <w:rFonts w:hint="eastAsia" w:eastAsia="仿宋_GB2312"/>
          <w:kern w:val="0"/>
          <w:sz w:val="32"/>
          <w:szCs w:val="32"/>
          <w:lang w:val="en-US" w:eastAsia="en-US"/>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总体目标：按时“因地制宜、质量优先、统筹推进、集中连片、农民主体、建管并重”的原则，重点推进农村无害化卫生厕所新建，高质量完成省级重点民生实事任务</w:t>
      </w:r>
      <w:r>
        <w:rPr>
          <w:rFonts w:hint="eastAsia" w:eastAsia="仿宋_GB2312"/>
          <w:kern w:val="0"/>
          <w:sz w:val="32"/>
          <w:szCs w:val="32"/>
          <w:lang w:val="en-US" w:eastAsia="zh-CN"/>
        </w:rPr>
        <w:t>；</w:t>
      </w:r>
      <w:r>
        <w:rPr>
          <w:rFonts w:hint="eastAsia" w:eastAsia="仿宋_GB2312"/>
          <w:kern w:val="0"/>
          <w:sz w:val="32"/>
          <w:szCs w:val="32"/>
          <w:lang w:val="en-US" w:eastAsia="en-US"/>
        </w:rPr>
        <w:t>年度目标：户用卫生厕所改造</w:t>
      </w:r>
      <w:r>
        <w:rPr>
          <w:rFonts w:hint="eastAsia" w:eastAsia="仿宋_GB2312"/>
          <w:kern w:val="0"/>
          <w:sz w:val="32"/>
          <w:szCs w:val="32"/>
          <w:lang w:val="en-US" w:eastAsia="zh-CN"/>
        </w:rPr>
        <w:t>10</w:t>
      </w:r>
      <w:r>
        <w:rPr>
          <w:rFonts w:hint="eastAsia" w:eastAsia="仿宋_GB2312"/>
          <w:kern w:val="0"/>
          <w:sz w:val="32"/>
          <w:szCs w:val="32"/>
          <w:lang w:val="en-US" w:eastAsia="en-US"/>
        </w:rPr>
        <w:t>00户，农村公厕改造20座。</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本次财政支出绩效评价工作，共分为三个阶段：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1、前期准备阶段。</w:t>
      </w:r>
      <w:r>
        <w:rPr>
          <w:rFonts w:hint="eastAsia" w:eastAsia="仿宋_GB2312" w:cs="Arial"/>
          <w:snapToGrid w:val="0"/>
          <w:color w:val="000000"/>
          <w:kern w:val="0"/>
          <w:sz w:val="32"/>
          <w:szCs w:val="32"/>
          <w:lang w:val="en-US" w:eastAsia="zh-CN" w:bidi="ar-SA"/>
        </w:rPr>
        <w:t>成立农村户用卫生厕所改建绩</w:t>
      </w:r>
      <w:r>
        <w:rPr>
          <w:rFonts w:hint="eastAsia" w:ascii="Arial" w:hAnsi="Arial" w:eastAsia="仿宋_GB2312" w:cs="Arial"/>
          <w:snapToGrid w:val="0"/>
          <w:color w:val="000000"/>
          <w:kern w:val="0"/>
          <w:sz w:val="32"/>
          <w:szCs w:val="32"/>
          <w:lang w:val="en-US" w:eastAsia="zh-CN" w:bidi="ar-SA"/>
        </w:rPr>
        <w:t>效评价</w:t>
      </w:r>
      <w:r>
        <w:rPr>
          <w:rFonts w:hint="eastAsia" w:eastAsia="仿宋_GB2312" w:cs="Arial"/>
          <w:snapToGrid w:val="0"/>
          <w:color w:val="000000"/>
          <w:kern w:val="0"/>
          <w:sz w:val="32"/>
          <w:szCs w:val="32"/>
          <w:lang w:val="en-US" w:eastAsia="zh-CN" w:bidi="ar-SA"/>
        </w:rPr>
        <w:t>工作领导小组，确定评价项目及范围，研究讨论并制定绩效评价实施方案，评价</w:t>
      </w:r>
      <w:r>
        <w:rPr>
          <w:rFonts w:hint="eastAsia" w:ascii="Arial" w:hAnsi="Arial" w:eastAsia="仿宋_GB2312" w:cs="Arial"/>
          <w:snapToGrid w:val="0"/>
          <w:color w:val="000000"/>
          <w:kern w:val="0"/>
          <w:sz w:val="32"/>
          <w:szCs w:val="32"/>
          <w:lang w:val="en-US" w:eastAsia="zh-CN" w:bidi="ar-SA"/>
        </w:rPr>
        <w:t>指标体系</w:t>
      </w:r>
      <w:r>
        <w:rPr>
          <w:rFonts w:hint="eastAsia" w:eastAsia="仿宋_GB2312" w:cs="Arial"/>
          <w:snapToGrid w:val="0"/>
          <w:color w:val="000000"/>
          <w:kern w:val="0"/>
          <w:sz w:val="32"/>
          <w:szCs w:val="32"/>
          <w:lang w:val="en-US" w:eastAsia="zh-CN" w:bidi="ar-SA"/>
        </w:rPr>
        <w:t>及方法。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2、组织实施阶段。</w:t>
      </w:r>
      <w:r>
        <w:rPr>
          <w:rFonts w:hint="eastAsia" w:eastAsia="仿宋_GB2312" w:cs="Arial"/>
          <w:snapToGrid w:val="0"/>
          <w:color w:val="000000"/>
          <w:kern w:val="0"/>
          <w:sz w:val="32"/>
          <w:szCs w:val="32"/>
          <w:lang w:val="en-US" w:eastAsia="zh-CN" w:bidi="ar-SA"/>
        </w:rPr>
        <w:t>由项目实施单位对专项资金的实用情况进行自查，收齐相关资料，提交</w:t>
      </w:r>
      <w:r>
        <w:rPr>
          <w:rFonts w:hint="eastAsia" w:ascii="Arial" w:hAnsi="Arial" w:eastAsia="仿宋_GB2312" w:cs="Arial"/>
          <w:snapToGrid w:val="0"/>
          <w:color w:val="000000"/>
          <w:kern w:val="0"/>
          <w:sz w:val="32"/>
          <w:szCs w:val="32"/>
          <w:lang w:val="en-US" w:eastAsia="zh-CN" w:bidi="ar-SA"/>
        </w:rPr>
        <w:t>绩效评价小组</w:t>
      </w:r>
      <w:r>
        <w:rPr>
          <w:rFonts w:hint="eastAsia" w:eastAsia="仿宋_GB2312" w:cs="Arial"/>
          <w:snapToGrid w:val="0"/>
          <w:color w:val="000000"/>
          <w:kern w:val="0"/>
          <w:sz w:val="32"/>
          <w:szCs w:val="32"/>
          <w:lang w:val="en-US" w:eastAsia="zh-CN" w:bidi="ar-SA"/>
        </w:rPr>
        <w:t>；绩效评价领导小组根据</w:t>
      </w:r>
      <w:r>
        <w:rPr>
          <w:rFonts w:hint="eastAsia" w:ascii="Arial" w:hAnsi="Arial" w:eastAsia="仿宋_GB2312" w:cs="Arial"/>
          <w:snapToGrid w:val="0"/>
          <w:color w:val="000000"/>
          <w:kern w:val="0"/>
          <w:sz w:val="32"/>
          <w:szCs w:val="32"/>
          <w:lang w:val="en-US" w:eastAsia="zh-CN" w:bidi="ar-SA"/>
        </w:rPr>
        <w:t>项目管理实施情况、项目资金使用情况及相关资料</w:t>
      </w:r>
      <w:r>
        <w:rPr>
          <w:rFonts w:hint="eastAsia" w:eastAsia="仿宋_GB2312" w:cs="Arial"/>
          <w:snapToGrid w:val="0"/>
          <w:color w:val="000000"/>
          <w:kern w:val="0"/>
          <w:sz w:val="32"/>
          <w:szCs w:val="32"/>
          <w:lang w:val="en-US" w:eastAsia="zh-CN" w:bidi="ar-SA"/>
        </w:rPr>
        <w:t>进行实地考核评价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3、分析评价阶段。</w:t>
      </w:r>
      <w:r>
        <w:rPr>
          <w:rFonts w:hint="eastAsia" w:eastAsia="仿宋_GB2312" w:cs="Arial"/>
          <w:snapToGrid w:val="0"/>
          <w:color w:val="000000"/>
          <w:kern w:val="0"/>
          <w:sz w:val="32"/>
          <w:szCs w:val="32"/>
          <w:lang w:val="en-US" w:eastAsia="zh-CN" w:bidi="ar-SA"/>
        </w:rPr>
        <w:t>专项绩效评价领导小组</w:t>
      </w:r>
      <w:r>
        <w:rPr>
          <w:rFonts w:hint="eastAsia" w:ascii="Arial" w:hAnsi="Arial" w:eastAsia="仿宋_GB2312" w:cs="Arial"/>
          <w:snapToGrid w:val="0"/>
          <w:color w:val="000000"/>
          <w:kern w:val="0"/>
          <w:sz w:val="32"/>
          <w:szCs w:val="32"/>
          <w:lang w:val="en-US" w:eastAsia="zh-CN" w:bidi="ar-SA"/>
        </w:rPr>
        <w:t>根据取得的证据，对照绩效评价指标体系评分标准进行分析评价</w:t>
      </w:r>
      <w:r>
        <w:rPr>
          <w:rFonts w:hint="eastAsia" w:eastAsia="仿宋_GB2312" w:cs="Arial"/>
          <w:snapToGrid w:val="0"/>
          <w:color w:val="000000"/>
          <w:kern w:val="0"/>
          <w:sz w:val="32"/>
          <w:szCs w:val="32"/>
          <w:lang w:val="en-US" w:eastAsia="zh-CN" w:bidi="ar-SA"/>
        </w:rPr>
        <w:t>，完成绩效评价报告</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本项目</w:t>
      </w:r>
      <w:r>
        <w:rPr>
          <w:rFonts w:hint="eastAsia" w:ascii="Arial" w:hAnsi="Arial" w:eastAsia="仿宋_GB2312" w:cs="Arial"/>
          <w:snapToGrid w:val="0"/>
          <w:color w:val="000000"/>
          <w:kern w:val="0"/>
          <w:sz w:val="32"/>
          <w:szCs w:val="32"/>
          <w:lang w:val="en-US" w:eastAsia="en-US" w:bidi="ar-SA"/>
        </w:rPr>
        <w:t>重点推进农村无害化卫生厕所新建，高质量完成省级重点民生实事任务</w:t>
      </w:r>
      <w:r>
        <w:rPr>
          <w:rFonts w:hint="eastAsia"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en-US" w:bidi="ar-SA"/>
        </w:rPr>
        <w:t>年度目标：户用卫生厕所改造</w:t>
      </w:r>
      <w:r>
        <w:rPr>
          <w:rFonts w:hint="eastAsia" w:eastAsia="仿宋_GB2312" w:cs="Arial"/>
          <w:snapToGrid w:val="0"/>
          <w:color w:val="000000"/>
          <w:kern w:val="0"/>
          <w:sz w:val="32"/>
          <w:szCs w:val="32"/>
          <w:lang w:val="en-US" w:eastAsia="zh-CN" w:bidi="ar-SA"/>
        </w:rPr>
        <w:t>10</w:t>
      </w:r>
      <w:r>
        <w:rPr>
          <w:rFonts w:hint="eastAsia" w:ascii="Arial" w:hAnsi="Arial" w:eastAsia="仿宋_GB2312" w:cs="Arial"/>
          <w:snapToGrid w:val="0"/>
          <w:color w:val="000000"/>
          <w:kern w:val="0"/>
          <w:sz w:val="32"/>
          <w:szCs w:val="32"/>
          <w:lang w:val="en-US" w:eastAsia="en-US" w:bidi="ar-SA"/>
        </w:rPr>
        <w:t>00户，农村公厕改造20座</w:t>
      </w:r>
      <w:r>
        <w:rPr>
          <w:rFonts w:hint="eastAsia" w:ascii="Arial" w:hAnsi="Arial" w:eastAsia="仿宋_GB2312" w:cs="Arial"/>
          <w:snapToGrid w:val="0"/>
          <w:color w:val="000000"/>
          <w:kern w:val="0"/>
          <w:sz w:val="32"/>
          <w:szCs w:val="32"/>
          <w:lang w:val="en-US" w:eastAsia="zh-CN" w:bidi="ar-SA"/>
        </w:rPr>
        <w:t>，均已完成。</w:t>
      </w:r>
      <w:r>
        <w:rPr>
          <w:rFonts w:hint="eastAsia" w:ascii="Arial" w:hAnsi="Arial" w:eastAsia="仿宋_GB2312" w:cs="Arial"/>
          <w:snapToGrid w:val="0"/>
          <w:color w:val="000000"/>
          <w:kern w:val="0"/>
          <w:sz w:val="32"/>
          <w:szCs w:val="32"/>
          <w:lang w:val="en-US" w:eastAsia="en-US" w:bidi="ar-SA"/>
        </w:rPr>
        <w:t>达到预期效果，评价结论优。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农村户用卫生厕所改建项目由财政拨付至我局后，由我局具体实施此项目的社会事业促进股根据省、岳阳关于农村户用卫生厕所改建相关实施方案在我市制定实施细则，确定卫生厕所改建的实施地点、改建数量及补助标准，方案报农业局党组讨论研究，党组同意后报上级业务主管部门核准。</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根据我市项目实施方案由乡镇根据各镇实际情况摸排农村需要改建用厕数量，指定施工单位与农户对接，确定安装时间，安装标准，验收合格后，由乡镇提出拨付申请，我局拨付项目资金。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en-US"/>
        </w:rPr>
        <w:t>用卫生厕所改造600户，农村公厕改造20座</w:t>
      </w:r>
      <w:r>
        <w:rPr>
          <w:rFonts w:hint="eastAsia" w:eastAsia="仿宋_GB2312"/>
          <w:kern w:val="0"/>
          <w:sz w:val="32"/>
          <w:szCs w:val="32"/>
          <w:lang w:val="en-US" w:eastAsia="zh-CN"/>
        </w:rPr>
        <w:t>，均已完成。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通过此项目实施，农村户用厕所进行改建后，农村卫生状况得到了极大的改善，群众满意度95%以上，达到了预期社会效益。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highlight w:val="none"/>
        </w:rPr>
      </w:pPr>
      <w:r>
        <w:rPr>
          <w:rFonts w:ascii="黑体" w:hAnsi="黑体" w:eastAsia="黑体" w:cs="黑体"/>
          <w:b/>
          <w:bCs/>
          <w:spacing w:val="-15"/>
          <w:sz w:val="31"/>
          <w:szCs w:val="31"/>
          <w:highlight w:val="none"/>
        </w:rPr>
        <w:t>五、主要经验及做法、存在的问题及原因分析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 xml:space="preserve">在本项目实施中，作为用最小的费用产生最大的实用效果，实施单位质量管理很关键，对项目实施的监管不容忽视。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（一）主要经验及做法</w:t>
      </w:r>
    </w:p>
    <w:p>
      <w:pPr>
        <w:pStyle w:val="3"/>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及时安排部署。</w:t>
      </w:r>
      <w:r>
        <w:rPr>
          <w:rFonts w:ascii="仿宋_GB2312" w:hAnsi="宋体" w:eastAsia="仿宋_GB2312" w:cs="仿宋_GB2312"/>
          <w:i w:val="0"/>
          <w:caps w:val="0"/>
          <w:color w:val="333333"/>
          <w:spacing w:val="0"/>
          <w:sz w:val="30"/>
          <w:szCs w:val="30"/>
          <w:shd w:val="clear" w:fill="FFFFFF"/>
        </w:rPr>
        <w:t>求各乡镇（街道）就1</w:t>
      </w:r>
      <w:r>
        <w:rPr>
          <w:rFonts w:hint="eastAsia" w:ascii="仿宋_GB2312" w:hAnsi="宋体" w:eastAsia="仿宋_GB2312" w:cs="仿宋_GB2312"/>
          <w:i w:val="0"/>
          <w:caps w:val="0"/>
          <w:color w:val="333333"/>
          <w:spacing w:val="0"/>
          <w:sz w:val="30"/>
          <w:szCs w:val="30"/>
          <w:shd w:val="clear" w:fill="FFFFFF"/>
          <w:lang w:val="en-US" w:eastAsia="zh-CN"/>
        </w:rPr>
        <w:t>0</w:t>
      </w:r>
      <w:r>
        <w:rPr>
          <w:rFonts w:ascii="仿宋_GB2312" w:hAnsi="宋体" w:eastAsia="仿宋_GB2312" w:cs="仿宋_GB2312"/>
          <w:i w:val="0"/>
          <w:caps w:val="0"/>
          <w:color w:val="333333"/>
          <w:spacing w:val="0"/>
          <w:sz w:val="30"/>
          <w:szCs w:val="30"/>
          <w:shd w:val="clear" w:fill="FFFFFF"/>
        </w:rPr>
        <w:t>00户做好任务分解、动员，今年我县继续采取“政府定标准、农户自主改厕、验收合格后奖补”的模式推进，为全县顺利推进厕所革命奠定基础</w:t>
      </w:r>
      <w:r>
        <w:rPr>
          <w:rFonts w:hint="eastAsia" w:ascii="Arial" w:hAnsi="Arial" w:eastAsia="仿宋_GB2312" w:cs="Arial"/>
          <w:snapToGrid w:val="0"/>
          <w:color w:val="000000"/>
          <w:kern w:val="0"/>
          <w:sz w:val="32"/>
          <w:szCs w:val="32"/>
          <w:highlight w:val="none"/>
          <w:lang w:val="en-US" w:eastAsia="zh-CN" w:bidi="ar-SA"/>
        </w:rPr>
        <w:t>，要求全县改厕3月底全面开工，11月底全面竣工。</w:t>
      </w:r>
    </w:p>
    <w:p>
      <w:pPr>
        <w:pStyle w:val="3"/>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开展“首厕过关”现场培训。我市《实施方案》下发后，组织各乡镇厕所革命负责人及村干部召开“首厕过关”现场培训，明确技术标准和推进时限，要求各乡镇技术人员入村开展技术讲解和政策宣传，深入改厕户实地指导培训。同时，充分利用院坝会、微信群等方式开展技术交流，引导农户购买材料加快开工建设。</w:t>
      </w:r>
    </w:p>
    <w:p>
      <w:pPr>
        <w:pStyle w:val="3"/>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加强工作调度督导。6月份以来，我市厕所革命推进进度实行一周一调度，对施工进度慢的乡镇，市领导亲自督促。同时，我局派出业务督导组入村督促指导，通过下发工作提示单等形式推进厕改工作。</w:t>
      </w:r>
    </w:p>
    <w:p>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存在的问题及原因分析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ascii="微软雅黑" w:hAnsi="微软雅黑" w:eastAsia="微软雅黑" w:cs="微软雅黑"/>
          <w:i w:val="0"/>
          <w:caps w:val="0"/>
          <w:color w:val="333333"/>
          <w:spacing w:val="0"/>
          <w:sz w:val="30"/>
          <w:szCs w:val="30"/>
        </w:rPr>
      </w:pPr>
      <w:r>
        <w:rPr>
          <w:rFonts w:hint="eastAsia" w:ascii="仿宋_GB2312" w:hAnsi="微软雅黑" w:eastAsia="仿宋_GB2312" w:cs="仿宋_GB2312"/>
          <w:i w:val="0"/>
          <w:caps w:val="0"/>
          <w:color w:val="333333"/>
          <w:spacing w:val="0"/>
          <w:sz w:val="30"/>
          <w:szCs w:val="30"/>
          <w:shd w:val="clear" w:fill="FFFFFF"/>
          <w:lang w:val="en-US" w:eastAsia="zh-CN"/>
        </w:rPr>
        <w:t>1、</w:t>
      </w:r>
      <w:r>
        <w:rPr>
          <w:rFonts w:hint="eastAsia" w:ascii="仿宋_GB2312" w:hAnsi="微软雅黑" w:eastAsia="仿宋_GB2312" w:cs="仿宋_GB2312"/>
          <w:i w:val="0"/>
          <w:caps w:val="0"/>
          <w:color w:val="333333"/>
          <w:spacing w:val="0"/>
          <w:sz w:val="30"/>
          <w:szCs w:val="30"/>
          <w:shd w:val="clear" w:fill="FFFFFF"/>
        </w:rPr>
        <w:t>部分农民改厕积极性不强。部分农户受传统思想和生活习惯影响，卫生意识淡薄；有意愿改厕的农户因劳动力外出务工等原因，留守人员无能力改厕，导致改厕积极性不高。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eastAsia" w:ascii="微软雅黑" w:hAnsi="微软雅黑" w:eastAsia="微软雅黑" w:cs="微软雅黑"/>
          <w:i w:val="0"/>
          <w:caps w:val="0"/>
          <w:color w:val="333333"/>
          <w:spacing w:val="0"/>
          <w:sz w:val="30"/>
          <w:szCs w:val="30"/>
        </w:rPr>
      </w:pPr>
      <w:r>
        <w:rPr>
          <w:rFonts w:hint="eastAsia" w:ascii="仿宋_GB2312" w:hAnsi="微软雅黑" w:eastAsia="仿宋_GB2312" w:cs="仿宋_GB2312"/>
          <w:i w:val="0"/>
          <w:caps w:val="0"/>
          <w:color w:val="333333"/>
          <w:spacing w:val="0"/>
          <w:sz w:val="30"/>
          <w:szCs w:val="30"/>
          <w:shd w:val="clear" w:fill="FFFFFF"/>
          <w:lang w:val="en-US" w:eastAsia="zh-CN"/>
        </w:rPr>
        <w:t>2、</w:t>
      </w:r>
      <w:r>
        <w:rPr>
          <w:rFonts w:hint="eastAsia" w:ascii="仿宋_GB2312" w:hAnsi="微软雅黑" w:eastAsia="仿宋_GB2312" w:cs="仿宋_GB2312"/>
          <w:i w:val="0"/>
          <w:caps w:val="0"/>
          <w:color w:val="333333"/>
          <w:spacing w:val="0"/>
          <w:sz w:val="30"/>
          <w:szCs w:val="30"/>
          <w:shd w:val="clear" w:fill="FFFFFF"/>
        </w:rPr>
        <w:t>污水管网设施还未满足户厕粪污处理需求。部分村寨暂未完善污水收集管网和处理终端，污水消纳仅靠农田菜地消纳，距粪污彻底处理还有一定差距。</w:t>
      </w:r>
    </w:p>
    <w:p>
      <w:pPr>
        <w:pStyle w:val="4"/>
        <w:rPr>
          <w:rFonts w:hint="default"/>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ascii="微软雅黑" w:hAnsi="微软雅黑" w:eastAsia="微软雅黑" w:cs="微软雅黑"/>
          <w:i w:val="0"/>
          <w:caps w:val="0"/>
          <w:color w:val="333333"/>
          <w:spacing w:val="0"/>
          <w:sz w:val="30"/>
          <w:szCs w:val="30"/>
        </w:rPr>
      </w:pPr>
      <w:r>
        <w:rPr>
          <w:rFonts w:hint="eastAsia" w:ascii="仿宋_GB2312" w:hAnsi="微软雅黑" w:eastAsia="仿宋_GB2312" w:cs="仿宋_GB2312"/>
          <w:i w:val="0"/>
          <w:caps w:val="0"/>
          <w:color w:val="333333"/>
          <w:spacing w:val="0"/>
          <w:sz w:val="30"/>
          <w:szCs w:val="30"/>
          <w:shd w:val="clear" w:fill="FFFFFF"/>
          <w:lang w:val="en-US" w:eastAsia="zh-CN"/>
        </w:rPr>
        <w:t>1、</w:t>
      </w:r>
      <w:r>
        <w:rPr>
          <w:rFonts w:hint="eastAsia" w:ascii="仿宋_GB2312" w:hAnsi="微软雅黑" w:eastAsia="仿宋_GB2312" w:cs="仿宋_GB2312"/>
          <w:i w:val="0"/>
          <w:caps w:val="0"/>
          <w:color w:val="333333"/>
          <w:spacing w:val="0"/>
          <w:sz w:val="30"/>
          <w:szCs w:val="30"/>
          <w:shd w:val="clear" w:fill="FFFFFF"/>
        </w:rPr>
        <w:t>加强宣传力度，扩大政策影响。指导各乡镇充分利用广播、院坝会、网络媒介等多种形式广泛宣传农村厕所改造的重要意义和奖补政策，发挥村干部的宣传作用，激发农户改厕热情，保质保量完成改厕任务。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eastAsia" w:ascii="微软雅黑" w:hAnsi="微软雅黑" w:eastAsia="微软雅黑" w:cs="微软雅黑"/>
          <w:i w:val="0"/>
          <w:caps w:val="0"/>
          <w:color w:val="333333"/>
          <w:spacing w:val="0"/>
          <w:sz w:val="30"/>
          <w:szCs w:val="30"/>
        </w:rPr>
      </w:pPr>
      <w:r>
        <w:rPr>
          <w:rFonts w:hint="eastAsia" w:ascii="仿宋_GB2312" w:hAnsi="微软雅黑" w:eastAsia="仿宋_GB2312" w:cs="仿宋_GB2312"/>
          <w:i w:val="0"/>
          <w:caps w:val="0"/>
          <w:color w:val="333333"/>
          <w:spacing w:val="0"/>
          <w:sz w:val="30"/>
          <w:szCs w:val="30"/>
          <w:shd w:val="clear" w:fill="FFFFFF"/>
          <w:lang w:val="en-US" w:eastAsia="zh-CN"/>
        </w:rPr>
        <w:t>2、</w:t>
      </w:r>
      <w:r>
        <w:rPr>
          <w:rFonts w:hint="eastAsia" w:ascii="仿宋_GB2312" w:hAnsi="微软雅黑" w:eastAsia="仿宋_GB2312" w:cs="仿宋_GB2312"/>
          <w:i w:val="0"/>
          <w:caps w:val="0"/>
          <w:color w:val="333333"/>
          <w:spacing w:val="0"/>
          <w:sz w:val="30"/>
          <w:szCs w:val="30"/>
          <w:shd w:val="clear" w:fill="FFFFFF"/>
        </w:rPr>
        <w:t>进一步完善村级污水处理设施。充分发挥资金的集聚效应，完善村级污水处理配套设施，统筹农村厕所革命、农村生活污水治理同步推进，进一步改善农村人居环境。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cs="Arial"/>
          <w:snapToGrid w:val="0"/>
          <w:color w:val="000000"/>
          <w:kern w:val="0"/>
          <w:sz w:val="32"/>
          <w:szCs w:val="32"/>
          <w:lang w:val="en-US" w:eastAsia="zh-CN" w:bidi="ar-SA"/>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无</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cs="Arial"/>
          <w:snapToGrid w:val="0"/>
          <w:color w:val="000000"/>
          <w:kern w:val="0"/>
          <w:sz w:val="32"/>
          <w:szCs w:val="32"/>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粮食生产扶持</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rFonts w:hint="eastAsia"/>
          <w:spacing w:val="-13"/>
          <w:position w:val="26"/>
          <w:sz w:val="27"/>
          <w:szCs w:val="27"/>
          <w:lang w:val="en-US" w:eastAsia="zh-CN"/>
        </w:rPr>
        <w:t xml:space="preserve"> 15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4"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1、项目单位基本情况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汨罗市农业农村局为全额事业单位，内设股室21个， 4个副科级二级机构，主要职能是发展粮食生产，推广农业新技术、新品种，开展农业行政综合执法和农产品质量安全管理，农民素质教育培训，农业产业化管理，植物保护体系建设和农业资源环境保护等工作。现有干部职工</w:t>
      </w:r>
      <w:r>
        <w:rPr>
          <w:rFonts w:hint="eastAsia" w:eastAsia="仿宋_GB2312"/>
          <w:kern w:val="0"/>
          <w:sz w:val="32"/>
          <w:szCs w:val="32"/>
          <w:lang w:val="en-US" w:eastAsia="zh-CN"/>
        </w:rPr>
        <w:t>190</w:t>
      </w:r>
      <w:r>
        <w:rPr>
          <w:rFonts w:hint="eastAsia" w:eastAsia="仿宋_GB2312"/>
          <w:kern w:val="0"/>
          <w:sz w:val="32"/>
          <w:szCs w:val="32"/>
          <w:lang w:val="en-US" w:eastAsia="en-US"/>
        </w:rPr>
        <w:t>人，其中高级职称15人，中级职称40人，专业技术力量较强。局里办公设施较完备，各项规章制度健全，能满足项目所要求的条件。</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项目的实施依据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根据2022年中央一号文件对农村农业的发展规划、《汨罗人民政府《关于做好2022年粮食生产工作意见的通知》文件精神。</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提高我市农业生产积极性，以稳定产能、保证农产品有效供给为主要目标，促进粮食生产稳定发展。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highlight w:val="none"/>
          <w:lang w:val="en-US" w:eastAsia="en-US"/>
        </w:rPr>
      </w:pPr>
      <w:r>
        <w:rPr>
          <w:rFonts w:hint="eastAsia" w:eastAsia="仿宋_GB2312"/>
          <w:kern w:val="0"/>
          <w:sz w:val="32"/>
          <w:szCs w:val="32"/>
          <w:highlight w:val="none"/>
          <w:lang w:val="en-US" w:eastAsia="en-US"/>
        </w:rPr>
        <w:t>年度内本预算资金主要用于</w:t>
      </w:r>
      <w:r>
        <w:rPr>
          <w:rFonts w:hint="eastAsia" w:eastAsia="仿宋_GB2312"/>
          <w:kern w:val="0"/>
          <w:sz w:val="32"/>
          <w:szCs w:val="32"/>
          <w:highlight w:val="none"/>
          <w:lang w:val="en-US" w:eastAsia="zh-CN"/>
        </w:rPr>
        <w:t>全市粮食生产扶持</w:t>
      </w:r>
      <w:r>
        <w:rPr>
          <w:rFonts w:hint="eastAsia" w:eastAsia="仿宋_GB2312"/>
          <w:kern w:val="0"/>
          <w:sz w:val="32"/>
          <w:szCs w:val="32"/>
          <w:highlight w:val="none"/>
          <w:lang w:val="en-US" w:eastAsia="en-US"/>
        </w:rPr>
        <w:t>，也未统筹和自筹其他资金</w:t>
      </w:r>
      <w:r>
        <w:rPr>
          <w:rFonts w:hint="eastAsia" w:eastAsia="仿宋_GB2312"/>
          <w:kern w:val="0"/>
          <w:sz w:val="32"/>
          <w:szCs w:val="32"/>
          <w:highlight w:val="none"/>
          <w:lang w:val="en-US" w:eastAsia="zh-CN"/>
        </w:rPr>
        <w:t>，</w:t>
      </w:r>
      <w:r>
        <w:rPr>
          <w:rFonts w:hint="eastAsia" w:eastAsia="仿宋_GB2312"/>
          <w:kern w:val="0"/>
          <w:sz w:val="32"/>
          <w:szCs w:val="32"/>
          <w:highlight w:val="none"/>
          <w:lang w:val="en-US" w:eastAsia="en-US"/>
        </w:rPr>
        <w:t>资金全部使用完毕</w:t>
      </w:r>
      <w:r>
        <w:rPr>
          <w:rFonts w:hint="eastAsia" w:eastAsia="仿宋_GB2312"/>
          <w:kern w:val="0"/>
          <w:sz w:val="32"/>
          <w:szCs w:val="32"/>
          <w:highlight w:val="none"/>
          <w:lang w:val="en-US" w:eastAsia="zh-CN"/>
        </w:rPr>
        <w:t>。根据《汨罗市农业农村局项目资金管理办法》，由单位负责人对项目的申报、实施、专项资金等负总责，计财股负责项目及专项资金预算申报，种植业股负责阶段组织实施具体工作。</w:t>
      </w:r>
      <w:r>
        <w:rPr>
          <w:rFonts w:hint="eastAsia" w:eastAsia="仿宋_GB2312"/>
          <w:kern w:val="0"/>
          <w:sz w:val="32"/>
          <w:szCs w:val="32"/>
          <w:highlight w:val="none"/>
          <w:lang w:val="en-US" w:eastAsia="en-US"/>
        </w:rPr>
        <w:t>在项目实施完毕后，由项目实施股室提出资金拨付申请，凭项目实施单位相关票据合同验收材料等，经分管负责人审核，财务负责人审批后，报国库集中支付。</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本项目资金50万元，围绕</w:t>
      </w:r>
      <w:r>
        <w:rPr>
          <w:rFonts w:hint="eastAsia" w:ascii="Arial" w:hAnsi="Arial" w:eastAsia="仿宋_GB2312" w:cs="Arial"/>
          <w:snapToGrid w:val="0"/>
          <w:color w:val="000000"/>
          <w:kern w:val="0"/>
          <w:sz w:val="32"/>
          <w:szCs w:val="32"/>
          <w:lang w:val="en-US" w:eastAsia="zh-CN" w:bidi="ar-SA"/>
        </w:rPr>
        <w:t>总目标</w:t>
      </w:r>
      <w:r>
        <w:rPr>
          <w:rFonts w:hint="eastAsia" w:eastAsia="仿宋_GB2312" w:cs="Arial"/>
          <w:snapToGrid w:val="0"/>
          <w:color w:val="000000"/>
          <w:kern w:val="0"/>
          <w:sz w:val="32"/>
          <w:szCs w:val="32"/>
          <w:lang w:val="en-US" w:eastAsia="zh-CN" w:bidi="ar-SA"/>
        </w:rPr>
        <w:t>开展</w:t>
      </w:r>
      <w:r>
        <w:rPr>
          <w:rFonts w:hint="eastAsia" w:ascii="Arial" w:hAnsi="Arial" w:eastAsia="仿宋_GB2312" w:cs="Arial"/>
          <w:snapToGrid w:val="0"/>
          <w:color w:val="000000"/>
          <w:kern w:val="0"/>
          <w:sz w:val="32"/>
          <w:szCs w:val="32"/>
          <w:lang w:val="en-US" w:eastAsia="zh-CN" w:bidi="ar-SA"/>
        </w:rPr>
        <w:t>推广集中育秧、合理密植、安全齐穗、测土配方施肥、病虫害专业化统防统治和绿色防控、机械化育插秧技术及水稻全程机械化、标准化生产等一系列农业技术，依靠科技力量，提高粮食单产和种粮效益；全力推进高档优质稻产业发展，促进一二三产业融合，全年推广高档优质稻35万亩；重点扶持30亩以上种粮大户等新型粮食生产经营主体，土地规模流转率到达45%左右，流转面积26万亩以上；全年实现粮食作物播种面积不低于112万亩，正常年份粮食总产量达到50万吨，确保产粮大县地位不动摇。预期主要的经济通过粮食生产专项资金引导，项目区农户粮食单产增产5%，亩节本增效200元。政治效益确保产粮大县地位不动摇。社会效益：促进粮食产业健康发展，增长农民收入，维护农村社会稳定</w:t>
      </w:r>
      <w:r>
        <w:rPr>
          <w:rFonts w:hint="eastAsia" w:eastAsia="仿宋_GB2312" w:cs="Arial"/>
          <w:snapToGrid w:val="0"/>
          <w:color w:val="000000"/>
          <w:kern w:val="0"/>
          <w:sz w:val="32"/>
          <w:szCs w:val="32"/>
          <w:lang w:val="en-US" w:eastAsia="zh-CN" w:bidi="ar-SA"/>
        </w:rPr>
        <w:t>，整体情况比较好，绩效完成程度100%。</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本次财政支出绩效评价工作，共分为三个阶段：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1、前期准备阶段。确定绩效评价指标体系，准备项目资料。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2、组织实施阶段。绩效评价小组收集项目资料与相关证据，现场查阅项目管理实施情况、项目资金使用情况及相关资料。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3、分析评价阶段。根据取得的证据，对照绩效评价指标体系评分标准进行分析评价。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通过</w:t>
      </w:r>
      <w:r>
        <w:rPr>
          <w:rFonts w:hint="eastAsia" w:eastAsia="仿宋_GB2312" w:cs="Arial"/>
          <w:snapToGrid w:val="0"/>
          <w:color w:val="000000"/>
          <w:kern w:val="0"/>
          <w:sz w:val="32"/>
          <w:szCs w:val="32"/>
          <w:lang w:val="en-US" w:eastAsia="zh-CN" w:bidi="ar-SA"/>
        </w:rPr>
        <w:t>该项目</w:t>
      </w:r>
      <w:r>
        <w:rPr>
          <w:rFonts w:hint="eastAsia" w:ascii="Arial" w:hAnsi="Arial" w:eastAsia="仿宋_GB2312" w:cs="Arial"/>
          <w:snapToGrid w:val="0"/>
          <w:color w:val="000000"/>
          <w:kern w:val="0"/>
          <w:sz w:val="32"/>
          <w:szCs w:val="32"/>
          <w:lang w:val="en-US" w:eastAsia="zh-CN" w:bidi="ar-SA"/>
        </w:rPr>
        <w:t>开展水稻集中育秧、粮油高产创建、“种三产四”丰产工程等粮食丰产技术试验示范和推广、努力培植种粮大户和粮食生产专业合作社，我市再次被评为“全产粮大县”，并再次被评为“全省粮食生产标兵县”。通过项目实施，全县粮食生产品种优质率达到100%，项目区农户平均每季每亩节本增收200元以上，每亩增产5%以上，确保全县粮油生产安全。在项目实施过程中，加强农产品监管，推广无公害栽培技术，维持好生态环境。</w:t>
      </w:r>
      <w:r>
        <w:rPr>
          <w:rFonts w:hint="eastAsia" w:eastAsia="仿宋_GB2312" w:cs="Arial"/>
          <w:snapToGrid w:val="0"/>
          <w:color w:val="000000"/>
          <w:kern w:val="0"/>
          <w:sz w:val="32"/>
          <w:szCs w:val="32"/>
          <w:lang w:val="en-US" w:eastAsia="zh-CN" w:bidi="ar-SA"/>
        </w:rPr>
        <w:t>项目</w:t>
      </w:r>
      <w:r>
        <w:rPr>
          <w:rFonts w:hint="eastAsia" w:ascii="Arial" w:hAnsi="Arial" w:eastAsia="仿宋_GB2312" w:cs="Arial"/>
          <w:snapToGrid w:val="0"/>
          <w:color w:val="000000"/>
          <w:kern w:val="0"/>
          <w:sz w:val="32"/>
          <w:szCs w:val="32"/>
          <w:lang w:val="en-US" w:eastAsia="en-US" w:bidi="ar-SA"/>
        </w:rPr>
        <w:t>达到预期效果，评价结论优</w:t>
      </w:r>
      <w:r>
        <w:rPr>
          <w:rFonts w:hint="eastAsia"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粮食生产扶持项目由财政拨付至我局后，由我局具体实施此项目的种植业股根据汨罗市人民政府《</w:t>
      </w:r>
      <w:r>
        <w:rPr>
          <w:rFonts w:hint="eastAsia" w:eastAsia="仿宋_GB2312"/>
          <w:kern w:val="0"/>
          <w:sz w:val="32"/>
          <w:szCs w:val="32"/>
          <w:lang w:val="en-US" w:eastAsia="zh-CN"/>
        </w:rPr>
        <w:t>关于做好2022年粮食生产工作意见的通知》文件精神，</w:t>
      </w:r>
      <w:r>
        <w:rPr>
          <w:rFonts w:hint="eastAsia" w:eastAsia="仿宋_GB2312"/>
          <w:kern w:val="0"/>
          <w:sz w:val="32"/>
          <w:szCs w:val="32"/>
          <w:lang w:eastAsia="zh-CN"/>
        </w:rPr>
        <w:t>在我市制定实施细则报农业局党组讨论研究，党组同意后报上级业务主管部门核准。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 xml:space="preserve"> （二）</w:t>
      </w: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我局成立了技术指导小组，负责制订高产创建技术线路、印发技术资料、组织培训等。一是实行技术包干制，将技术培训、现场管理等工作落实到</w:t>
      </w:r>
      <w:r>
        <w:rPr>
          <w:rFonts w:hint="eastAsia" w:ascii="Arial" w:hAnsi="Arial" w:eastAsia="仿宋_GB2312" w:cs="Arial"/>
          <w:snapToGrid w:val="0"/>
          <w:color w:val="000000"/>
          <w:kern w:val="0"/>
          <w:sz w:val="32"/>
          <w:szCs w:val="32"/>
          <w:lang w:val="en-US" w:eastAsia="zh-CN" w:bidi="ar-SA"/>
        </w:rPr>
        <w:t>位，派技术过硬，经验较强的专业技术人员全面进行技术指导和跟踪服务。二是严格督促检查，组织相关人员组成督查组，对各个乡镇进行督查，并对督查中存在的问题及时要求进行整改，确保全年粮食生产任务的完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en-US"/>
        </w:rPr>
        <w:t>通过项目实施，全县粮食生产品种优质率达到100%，经集中育秧、高产创建、种三产四等高产配套栽培技术集成，项目区农户平均每季每亩节本增收200元以上，每亩增产5%以上</w:t>
      </w:r>
      <w:r>
        <w:rPr>
          <w:rFonts w:hint="eastAsia" w:eastAsia="仿宋_GB2312"/>
          <w:kern w:val="0"/>
          <w:sz w:val="32"/>
          <w:szCs w:val="32"/>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通过该项目实施，加强农产品监管，推广无公害栽培技术，维持好生态环境，确保了全县粮油生产安全。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3"/>
        <w:spacing w:line="560" w:lineRule="exact"/>
        <w:ind w:firstLine="320" w:firstLineChars="100"/>
        <w:jc w:val="both"/>
        <w:rPr>
          <w:rFonts w:ascii="Arial" w:hAnsi="Arial" w:eastAsia="仿宋_GB2312" w:cs="Arial"/>
          <w:sz w:val="32"/>
          <w:szCs w:val="32"/>
          <w:lang w:eastAsia="zh-CN"/>
        </w:rPr>
      </w:pPr>
      <w:r>
        <w:rPr>
          <w:rFonts w:hint="eastAsia" w:ascii="Arial" w:hAnsi="Arial" w:eastAsia="仿宋_GB2312" w:cs="Arial"/>
          <w:sz w:val="32"/>
          <w:szCs w:val="32"/>
          <w:lang w:eastAsia="zh-CN"/>
        </w:rPr>
        <w:t>（一）主要经验及做法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1、</w:t>
      </w:r>
      <w:r>
        <w:rPr>
          <w:rFonts w:hint="eastAsia" w:eastAsia="仿宋_GB2312"/>
          <w:kern w:val="0"/>
          <w:sz w:val="32"/>
          <w:szCs w:val="32"/>
          <w:lang w:val="en-US" w:eastAsia="en-US"/>
        </w:rPr>
        <w:t>紧盯目标，提能稳产</w:t>
      </w:r>
      <w:r>
        <w:rPr>
          <w:rFonts w:hint="eastAsia" w:eastAsia="仿宋_GB2312"/>
          <w:kern w:val="0"/>
          <w:sz w:val="32"/>
          <w:szCs w:val="32"/>
          <w:lang w:val="en-US" w:eastAsia="zh-CN"/>
        </w:rPr>
        <w:t>。</w:t>
      </w:r>
      <w:r>
        <w:rPr>
          <w:rFonts w:hint="eastAsia" w:eastAsia="仿宋_GB2312"/>
          <w:kern w:val="0"/>
          <w:sz w:val="32"/>
          <w:szCs w:val="32"/>
          <w:lang w:val="en-US" w:eastAsia="en-US"/>
        </w:rPr>
        <w:t>2022年，全市全年计划完成粮食播种面积115万亩，总产量稳定在50万吨，围绕这一目标，我们及早动手，及早安排，扎实开展工作，目前，全市已完成粮食播种面积110.69万亩，其中早稻面积39万亩，中稻及一季稻18万亩，晚稻播种面积40.2万亩，春播或夏播玉米及其他旱杂粮12.05万亩，秋冬播旱杂粮1.44万亩，种植高档优质稻面积32.6万亩。</w:t>
      </w:r>
    </w:p>
    <w:p>
      <w:pPr>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稳定面积促生产。严守耕地红线，保证基本农田总量不减、用途不变、质量不降；坚决遏制抛荒，对抛荒严重的承包户，停止发放农业补贴；鼓励稻田综合种养，发展优质稻套养龙虾（鱼、蛙、鸭），实现一田两用；发展特色旱杂粮，全年播种玉米、苦荞、糯高粱、油葵和红皮花生12.5万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w:t>
      </w:r>
      <w:r>
        <w:rPr>
          <w:rFonts w:hint="eastAsia" w:eastAsia="仿宋_GB2312"/>
          <w:kern w:val="0"/>
          <w:sz w:val="32"/>
          <w:szCs w:val="32"/>
          <w:lang w:val="en-US" w:eastAsia="en-US"/>
        </w:rPr>
        <w:t>夯实基础促生产。积极推进小农水建设，去冬今春，多方投入1.39亿元，更新改造机埠185处，整修山塘2090口、河坝204处，建设高标准渠道398公里，修复水毁工程605处；今年新建高标准农田6.31万亩，目前已完成高标准农田建设23.5万亩；推广农业机械和社会化服务实现机耕机收面积99.5%以上</w:t>
      </w:r>
      <w:r>
        <w:rPr>
          <w:rFonts w:hint="eastAsia" w:eastAsia="仿宋_GB2312"/>
          <w:kern w:val="0"/>
          <w:sz w:val="32"/>
          <w:szCs w:val="32"/>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（二）存在问题及原因分析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1、</w:t>
      </w:r>
      <w:r>
        <w:rPr>
          <w:rFonts w:hint="eastAsia" w:eastAsia="仿宋_GB2312"/>
          <w:kern w:val="0"/>
          <w:sz w:val="32"/>
          <w:szCs w:val="32"/>
          <w:lang w:val="en-US" w:eastAsia="en-US"/>
        </w:rPr>
        <w:t>基础设施仍然薄弱。近年来，各级对农业投入加大，农业基础设施建设加快，耕作条件得到改善，综合生产能力得以提高。但与现代农业发展要求相比，特别是要适应机种机收生产方式的转变，农业基础设施仍然薄弱，抵御自然灾害能力不强，抗风险能力弱。仓容设施陈旧。粮食改制后，粮食仓储物流设施严重老化，同时，政策性粮食长年粮食高仓满储，粮食保管压力较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w:t>
      </w:r>
      <w:r>
        <w:rPr>
          <w:rFonts w:hint="eastAsia" w:eastAsia="仿宋_GB2312"/>
          <w:kern w:val="0"/>
          <w:sz w:val="32"/>
          <w:szCs w:val="32"/>
          <w:lang w:val="en-US" w:eastAsia="en-US"/>
        </w:rPr>
        <w:t>种粮积极性不高。根据我市春耕摸底调查结果显示，去年粮食价格下降，平均降价9.6元/百斤，降7.7%，而农资投入、劳动成本连年上升，关键时节请工难，虽然粮食获得增产丰收，但种粮农户并没增收，种粮效益低。影响到农民种粮积极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3、</w:t>
      </w:r>
      <w:r>
        <w:rPr>
          <w:rFonts w:hint="eastAsia" w:eastAsia="仿宋_GB2312"/>
          <w:kern w:val="0"/>
          <w:sz w:val="32"/>
          <w:szCs w:val="32"/>
          <w:lang w:val="en-US" w:eastAsia="en-US"/>
        </w:rPr>
        <w:t>粮食企业现亏损。从我市来看，粮食加工企业普遍存亏损状态，其原因有：国家粮食保护价政策保护了种粮户利益，但压缩了加工企业利润空间；粮食集中抛售，一定时间内会出现供求失衡，造成市场波动；进口大米价格较低，对本地粮食加工企业产生冲击；湖南“镉大米”的影响仍未消除，市场对湘米产品依然怀疑抵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4、</w:t>
      </w:r>
      <w:r>
        <w:rPr>
          <w:rFonts w:hint="eastAsia" w:eastAsia="仿宋_GB2312"/>
          <w:kern w:val="0"/>
          <w:sz w:val="32"/>
          <w:szCs w:val="32"/>
          <w:lang w:val="en-US" w:eastAsia="en-US"/>
        </w:rPr>
        <w:t>质量安全存在隐患。受城市化发展对土壤、水质污染影响，我市地处洞庭湖区域粮食重金属超标问题控制难度较大。县级检验检测技术力量有限，难以保证粮食质量。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5、</w:t>
      </w:r>
      <w:r>
        <w:rPr>
          <w:rFonts w:hint="eastAsia" w:eastAsia="仿宋_GB2312"/>
          <w:kern w:val="0"/>
          <w:sz w:val="32"/>
          <w:szCs w:val="32"/>
          <w:lang w:val="en-US" w:eastAsia="en-US"/>
        </w:rPr>
        <w:t>地方财政压力加大。在地方债务风险持续加大的情况下，超标粮处置“退坡”政策更给地方财政增加了负担。</w:t>
      </w:r>
    </w:p>
    <w:p>
      <w:pPr>
        <w:rPr>
          <w:rFonts w:hint="eastAsia" w:eastAsia="宋体"/>
          <w:lang w:val="en-US" w:eastAsia="zh-CN"/>
        </w:rPr>
      </w:pP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rPr>
        <w:t>有关建议</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加大投入，提高粮食产能。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请求针对农业生产方式的转变，继续加大粮食生产基础投入，升级农田水利、道路系统，实施耕地连片开发整治项目，推广良种良品，增强农业抗御自然灾害的能力，提高农产品的市场竞争力。完善粮油储备设施、流通体系建设。</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政策倾斜，保护种粮热情。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请求对产粮地区，坚持实行最低收购价政策，确保政策的稳定性和延续性。在国家最低收购价政策宏观调控的基础上，发挥省级储备粮、地方储备粮的微调作用，赋予省、市粮食部门依据市场变化制定相关对策的适当权责。针对农业生产资料价格上涨制定相应对策，理顺流通领域，合理平抑市场行为，打击制售假冒伪劣种子、化肥、农药等农业生产资料的行为，防止农资流通领域的囤积居奇、哄抬价格、扰乱市场等现象。同时，通过税收政策等，扶持粮食加工企业，完善粮食生产链条，保护群众利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（三）</w:t>
      </w:r>
      <w:r>
        <w:rPr>
          <w:rFonts w:hint="eastAsia" w:eastAsia="仿宋_GB2312"/>
          <w:kern w:val="0"/>
          <w:sz w:val="32"/>
          <w:szCs w:val="32"/>
          <w:lang w:val="en-US" w:eastAsia="en-US"/>
        </w:rPr>
        <w:t>技术支持，确保粮食安全。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请求加大对基层收粮、储粮的技术支持，特别恳请重点支持我市“优质粮油大县”项目申报与粮食仓容建设，确保粮源优质稳定，粮仓足够安全。</w:t>
      </w: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无</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eastAsia="仿宋_GB2312" w:cs="Arial"/>
          <w:snapToGrid w:val="0"/>
          <w:color w:val="000000"/>
          <w:kern w:val="0"/>
          <w:sz w:val="32"/>
          <w:szCs w:val="32"/>
          <w:lang w:val="en-US" w:eastAsia="zh-CN" w:bidi="ar-SA"/>
        </w:rPr>
      </w:pPr>
    </w:p>
    <w:sectPr>
      <w:footerReference r:id="rId15" w:type="default"/>
      <w:pgSz w:w="11900" w:h="16820"/>
      <w:pgMar w:top="1755" w:right="1227" w:bottom="1485" w:left="1011" w:header="0" w:footer="91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abstractNum w:abstractNumId="1">
    <w:nsid w:val="B5D71152"/>
    <w:multiLevelType w:val="singleLevel"/>
    <w:tmpl w:val="B5D71152"/>
    <w:lvl w:ilvl="0" w:tentative="0">
      <w:start w:val="2"/>
      <w:numFmt w:val="decimal"/>
      <w:suff w:val="nothing"/>
      <w:lvlText w:val="%1、"/>
      <w:lvlJc w:val="left"/>
    </w:lvl>
  </w:abstractNum>
  <w:abstractNum w:abstractNumId="2">
    <w:nsid w:val="BC555A20"/>
    <w:multiLevelType w:val="singleLevel"/>
    <w:tmpl w:val="BC555A20"/>
    <w:lvl w:ilvl="0" w:tentative="0">
      <w:start w:val="8"/>
      <w:numFmt w:val="chineseCounting"/>
      <w:suff w:val="nothing"/>
      <w:lvlText w:val="%1、"/>
      <w:lvlJc w:val="left"/>
      <w:rPr>
        <w:rFonts w:hint="eastAsia"/>
      </w:rPr>
    </w:lvl>
  </w:abstractNum>
  <w:abstractNum w:abstractNumId="3">
    <w:nsid w:val="D9B539CF"/>
    <w:multiLevelType w:val="singleLevel"/>
    <w:tmpl w:val="D9B539CF"/>
    <w:lvl w:ilvl="0" w:tentative="0">
      <w:start w:val="1"/>
      <w:numFmt w:val="chineseCounting"/>
      <w:suff w:val="nothing"/>
      <w:lvlText w:val="%1、"/>
      <w:lvlJc w:val="left"/>
      <w:rPr>
        <w:rFonts w:hint="eastAsia"/>
      </w:rPr>
    </w:lvl>
  </w:abstractNum>
  <w:abstractNum w:abstractNumId="4">
    <w:nsid w:val="DD995ED7"/>
    <w:multiLevelType w:val="singleLevel"/>
    <w:tmpl w:val="DD995ED7"/>
    <w:lvl w:ilvl="0" w:tentative="0">
      <w:start w:val="2"/>
      <w:numFmt w:val="chineseCounting"/>
      <w:suff w:val="nothing"/>
      <w:lvlText w:val="%1、"/>
      <w:lvlJc w:val="left"/>
      <w:rPr>
        <w:rFonts w:hint="eastAsia"/>
      </w:rPr>
    </w:lvl>
  </w:abstractNum>
  <w:abstractNum w:abstractNumId="5">
    <w:nsid w:val="E5EDB655"/>
    <w:multiLevelType w:val="singleLevel"/>
    <w:tmpl w:val="E5EDB655"/>
    <w:lvl w:ilvl="0" w:tentative="0">
      <w:start w:val="1"/>
      <w:numFmt w:val="chineseCounting"/>
      <w:lvlText w:val="(%1)"/>
      <w:lvlJc w:val="left"/>
      <w:pPr>
        <w:tabs>
          <w:tab w:val="left" w:pos="312"/>
        </w:tabs>
      </w:pPr>
      <w:rPr>
        <w:rFonts w:hint="eastAsia"/>
      </w:rPr>
    </w:lvl>
  </w:abstractNum>
  <w:abstractNum w:abstractNumId="6">
    <w:nsid w:val="010F24C4"/>
    <w:multiLevelType w:val="singleLevel"/>
    <w:tmpl w:val="010F24C4"/>
    <w:lvl w:ilvl="0" w:tentative="0">
      <w:start w:val="6"/>
      <w:numFmt w:val="chineseCounting"/>
      <w:suff w:val="nothing"/>
      <w:lvlText w:val="%1、"/>
      <w:lvlJc w:val="left"/>
      <w:rPr>
        <w:rFonts w:hint="eastAsia"/>
      </w:rPr>
    </w:lvl>
  </w:abstractNum>
  <w:abstractNum w:abstractNumId="7">
    <w:nsid w:val="1F326A9A"/>
    <w:multiLevelType w:val="singleLevel"/>
    <w:tmpl w:val="1F326A9A"/>
    <w:lvl w:ilvl="0" w:tentative="0">
      <w:start w:val="1"/>
      <w:numFmt w:val="decimal"/>
      <w:suff w:val="nothing"/>
      <w:lvlText w:val="%1、"/>
      <w:lvlJc w:val="left"/>
    </w:lvl>
  </w:abstractNum>
  <w:abstractNum w:abstractNumId="8">
    <w:nsid w:val="23F12B7F"/>
    <w:multiLevelType w:val="singleLevel"/>
    <w:tmpl w:val="23F12B7F"/>
    <w:lvl w:ilvl="0" w:tentative="0">
      <w:start w:val="1"/>
      <w:numFmt w:val="decimal"/>
      <w:suff w:val="nothing"/>
      <w:lvlText w:val="%1、"/>
      <w:lvlJc w:val="left"/>
    </w:lvl>
  </w:abstractNum>
  <w:abstractNum w:abstractNumId="9">
    <w:nsid w:val="311FEFBA"/>
    <w:multiLevelType w:val="singleLevel"/>
    <w:tmpl w:val="311FEFBA"/>
    <w:lvl w:ilvl="0" w:tentative="0">
      <w:start w:val="1"/>
      <w:numFmt w:val="chineseCounting"/>
      <w:suff w:val="nothing"/>
      <w:lvlText w:val="（%1）"/>
      <w:lvlJc w:val="left"/>
      <w:rPr>
        <w:rFonts w:hint="eastAsia"/>
      </w:rPr>
    </w:lvl>
  </w:abstractNum>
  <w:abstractNum w:abstractNumId="10">
    <w:nsid w:val="3961B539"/>
    <w:multiLevelType w:val="singleLevel"/>
    <w:tmpl w:val="3961B539"/>
    <w:lvl w:ilvl="0" w:tentative="0">
      <w:start w:val="2"/>
      <w:numFmt w:val="chineseCounting"/>
      <w:suff w:val="nothing"/>
      <w:lvlText w:val="（%1）"/>
      <w:lvlJc w:val="left"/>
      <w:rPr>
        <w:rFonts w:hint="eastAsia"/>
      </w:rPr>
    </w:lvl>
  </w:abstractNum>
  <w:abstractNum w:abstractNumId="11">
    <w:nsid w:val="5C8B5050"/>
    <w:multiLevelType w:val="singleLevel"/>
    <w:tmpl w:val="5C8B5050"/>
    <w:lvl w:ilvl="0" w:tentative="0">
      <w:start w:val="2"/>
      <w:numFmt w:val="chineseCounting"/>
      <w:lvlText w:val="(%1)"/>
      <w:lvlJc w:val="left"/>
      <w:pPr>
        <w:tabs>
          <w:tab w:val="left" w:pos="312"/>
        </w:tabs>
      </w:pPr>
      <w:rPr>
        <w:rFonts w:hint="eastAsia"/>
      </w:rPr>
    </w:lvl>
  </w:abstractNum>
  <w:abstractNum w:abstractNumId="12">
    <w:nsid w:val="716318F9"/>
    <w:multiLevelType w:val="singleLevel"/>
    <w:tmpl w:val="716318F9"/>
    <w:lvl w:ilvl="0" w:tentative="0">
      <w:start w:val="2"/>
      <w:numFmt w:val="decimal"/>
      <w:suff w:val="nothing"/>
      <w:lvlText w:val="%1、"/>
      <w:lvlJc w:val="left"/>
    </w:lvl>
  </w:abstractNum>
  <w:abstractNum w:abstractNumId="13">
    <w:nsid w:val="7B9E5EE8"/>
    <w:multiLevelType w:val="singleLevel"/>
    <w:tmpl w:val="7B9E5EE8"/>
    <w:lvl w:ilvl="0" w:tentative="0">
      <w:start w:val="1"/>
      <w:numFmt w:val="decimal"/>
      <w:suff w:val="nothing"/>
      <w:lvlText w:val="%1、"/>
      <w:lvlJc w:val="left"/>
    </w:lvl>
  </w:abstractNum>
  <w:num w:numId="1">
    <w:abstractNumId w:val="3"/>
  </w:num>
  <w:num w:numId="2">
    <w:abstractNumId w:val="10"/>
  </w:num>
  <w:num w:numId="3">
    <w:abstractNumId w:val="0"/>
  </w:num>
  <w:num w:numId="4">
    <w:abstractNumId w:val="7"/>
  </w:num>
  <w:num w:numId="5">
    <w:abstractNumId w:val="2"/>
  </w:num>
  <w:num w:numId="6">
    <w:abstractNumId w:val="13"/>
  </w:num>
  <w:num w:numId="7">
    <w:abstractNumId w:val="5"/>
  </w:num>
  <w:num w:numId="8">
    <w:abstractNumId w:val="4"/>
  </w:num>
  <w:num w:numId="9">
    <w:abstractNumId w:val="11"/>
  </w:num>
  <w:num w:numId="10">
    <w:abstractNumId w:val="8"/>
  </w:num>
  <w:num w:numId="11">
    <w:abstractNumId w:val="1"/>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FkMzI4YzY5ZTE2NDkzOWU4OGFjYWJmMTBiOTdkZGQifQ=="/>
  </w:docVars>
  <w:rsids>
    <w:rsidRoot w:val="00000000"/>
    <w:rsid w:val="008B799D"/>
    <w:rsid w:val="01AF3811"/>
    <w:rsid w:val="01B93DAB"/>
    <w:rsid w:val="03795BF7"/>
    <w:rsid w:val="047E2D02"/>
    <w:rsid w:val="07D94560"/>
    <w:rsid w:val="08242F53"/>
    <w:rsid w:val="086E756B"/>
    <w:rsid w:val="08DB7F75"/>
    <w:rsid w:val="0A263177"/>
    <w:rsid w:val="0ACF37E5"/>
    <w:rsid w:val="0B400BC6"/>
    <w:rsid w:val="0E675967"/>
    <w:rsid w:val="0E68228D"/>
    <w:rsid w:val="12FC55F3"/>
    <w:rsid w:val="149561EE"/>
    <w:rsid w:val="15276E52"/>
    <w:rsid w:val="165835C8"/>
    <w:rsid w:val="19D32FBC"/>
    <w:rsid w:val="1C813F6A"/>
    <w:rsid w:val="1D812C48"/>
    <w:rsid w:val="1D8E237D"/>
    <w:rsid w:val="1E6A4395"/>
    <w:rsid w:val="1EE51732"/>
    <w:rsid w:val="25557A3D"/>
    <w:rsid w:val="25B54512"/>
    <w:rsid w:val="25BF37F4"/>
    <w:rsid w:val="26EA5ED7"/>
    <w:rsid w:val="27A93B82"/>
    <w:rsid w:val="27AA4D4E"/>
    <w:rsid w:val="287927FE"/>
    <w:rsid w:val="2AE00186"/>
    <w:rsid w:val="302D06EF"/>
    <w:rsid w:val="308216BE"/>
    <w:rsid w:val="316B43B4"/>
    <w:rsid w:val="33385398"/>
    <w:rsid w:val="347025EA"/>
    <w:rsid w:val="34FE1149"/>
    <w:rsid w:val="36492770"/>
    <w:rsid w:val="3A550786"/>
    <w:rsid w:val="3B7A130F"/>
    <w:rsid w:val="3F435BA8"/>
    <w:rsid w:val="408239ED"/>
    <w:rsid w:val="43757A1B"/>
    <w:rsid w:val="447C2DDE"/>
    <w:rsid w:val="455A73E6"/>
    <w:rsid w:val="4F8B6063"/>
    <w:rsid w:val="51986137"/>
    <w:rsid w:val="52FA3F96"/>
    <w:rsid w:val="55850F17"/>
    <w:rsid w:val="56D03C05"/>
    <w:rsid w:val="57AE6D93"/>
    <w:rsid w:val="5C23328B"/>
    <w:rsid w:val="5C4C3D1D"/>
    <w:rsid w:val="5F255346"/>
    <w:rsid w:val="5F612301"/>
    <w:rsid w:val="5FA00C93"/>
    <w:rsid w:val="5FB623A7"/>
    <w:rsid w:val="603E5E9C"/>
    <w:rsid w:val="63AF14EE"/>
    <w:rsid w:val="6A6A2288"/>
    <w:rsid w:val="6C376DE7"/>
    <w:rsid w:val="6CE85379"/>
    <w:rsid w:val="6E3851B0"/>
    <w:rsid w:val="6F936088"/>
    <w:rsid w:val="7843626B"/>
    <w:rsid w:val="797109F7"/>
    <w:rsid w:val="7CD11239"/>
    <w:rsid w:val="7ED67756"/>
    <w:rsid w:val="7F261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312" w:lineRule="auto"/>
      <w:ind w:firstLine="420"/>
    </w:pPr>
  </w:style>
  <w:style w:type="paragraph" w:styleId="3">
    <w:name w:val="Body Text"/>
    <w:basedOn w:val="1"/>
    <w:next w:val="4"/>
    <w:semiHidden/>
    <w:qFormat/>
    <w:uiPriority w:val="0"/>
    <w:rPr>
      <w:rFonts w:ascii="仿宋" w:hAnsi="仿宋" w:eastAsia="仿宋" w:cs="仿宋"/>
      <w:sz w:val="34"/>
      <w:szCs w:val="34"/>
      <w:lang w:val="en-US" w:eastAsia="en-US" w:bidi="ar-SA"/>
    </w:rPr>
  </w:style>
  <w:style w:type="paragraph" w:styleId="4">
    <w:name w:val="toc 5"/>
    <w:basedOn w:val="1"/>
    <w:next w:val="1"/>
    <w:qFormat/>
    <w:uiPriority w:val="0"/>
    <w:pPr>
      <w:ind w:left="1680" w:leftChars="800"/>
    </w:pPr>
  </w:style>
  <w:style w:type="paragraph" w:styleId="5">
    <w:name w:val="caption"/>
    <w:basedOn w:val="1"/>
    <w:next w:val="1"/>
    <w:qFormat/>
    <w:uiPriority w:val="0"/>
    <w:rPr>
      <w:rFonts w:ascii="Cambria" w:hAnsi="Cambria" w:eastAsia="黑体"/>
      <w:sz w:val="20"/>
    </w:rPr>
  </w:style>
  <w:style w:type="paragraph" w:styleId="6">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styleId="13">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12060</Words>
  <Characters>13165</Characters>
  <TotalTime>2</TotalTime>
  <ScaleCrop>false</ScaleCrop>
  <LinksUpToDate>false</LinksUpToDate>
  <CharactersWithSpaces>13464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2024-07-05T03:35:00Z</cp:lastPrinted>
  <dcterms:modified xsi:type="dcterms:W3CDTF">2024-07-15T01:33:06Z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0FA55BABCB394BAEAA3854A85C7A795B_13</vt:lpwstr>
  </property>
</Properties>
</file>