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0.7</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98.13</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98.13</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9.59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2.49</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0.4</w:t>
            </w:r>
          </w:p>
        </w:tc>
        <w:tc>
          <w:tcPr>
            <w:tcW w:w="1983" w:type="dxa"/>
            <w:gridSpan w:val="2"/>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hint="eastAsia"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w:t>
            </w:r>
          </w:p>
          <w:p>
            <w:pPr>
              <w:spacing w:line="240" w:lineRule="auto"/>
              <w:jc w:val="center"/>
              <w:rPr>
                <w:rFonts w:ascii="仿宋_GB2312" w:eastAsia="仿宋_GB2312"/>
                <w:kern w:val="0"/>
              </w:rPr>
            </w:pP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实际投资</w:t>
            </w:r>
          </w:p>
          <w:p>
            <w:pPr>
              <w:spacing w:line="240" w:lineRule="auto"/>
              <w:jc w:val="center"/>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1</w:t>
            </w:r>
            <w:r>
              <w:rPr>
                <w:rFonts w:ascii="仿宋_GB2312" w:hAnsi="宋体" w:eastAsia="仿宋_GB2312" w:cs="宋体"/>
                <w:kern w:val="0"/>
                <w:lang w:val="en-US" w:eastAsia="zh-CN"/>
              </w:rPr>
              <w:t>、节约公务用车购置及运行费。减少车辆更新需求，杜绝公务用车闲置未用与租购并存现象</w:t>
            </w:r>
            <w:r>
              <w:rPr>
                <w:rFonts w:hint="eastAsia" w:ascii="仿宋_GB2312" w:hAnsi="宋体" w:eastAsia="仿宋_GB2312" w:cs="宋体"/>
                <w:kern w:val="0"/>
                <w:lang w:val="en-US" w:eastAsia="zh-CN"/>
              </w:rPr>
              <w:t>；2、</w:t>
            </w:r>
            <w:r>
              <w:rPr>
                <w:rFonts w:ascii="仿宋_GB2312" w:hAnsi="宋体" w:eastAsia="仿宋_GB2312" w:cs="宋体"/>
                <w:kern w:val="0"/>
                <w:lang w:val="en-US" w:eastAsia="zh-CN"/>
              </w:rPr>
              <w:t>从严控制各类预算支出。坚持“花钱必问效”,杜绝虚列支出、挤占挪用抓实抓细日常办公节约。</w:t>
            </w:r>
            <w:r>
              <w:rPr>
                <w:rFonts w:hint="eastAsia" w:ascii="仿宋_GB2312" w:hAnsi="宋体" w:eastAsia="仿宋_GB2312" w:cs="宋体"/>
                <w:kern w:val="0"/>
                <w:lang w:val="en-US" w:eastAsia="zh-CN"/>
              </w:rPr>
              <w:t>3、</w:t>
            </w:r>
            <w:r>
              <w:rPr>
                <w:rFonts w:ascii="仿宋_GB2312" w:hAnsi="宋体" w:eastAsia="仿宋_GB2312" w:cs="宋体"/>
                <w:kern w:val="0"/>
                <w:lang w:val="en-US" w:eastAsia="zh-CN"/>
              </w:rPr>
              <w:t>严格差旅审批，严禁无明确公务目的的差旅活动</w:t>
            </w:r>
            <w:r>
              <w:rPr>
                <w:rFonts w:hint="eastAsia" w:ascii="仿宋_GB2312" w:hAnsi="宋体" w:eastAsia="仿宋_GB2312" w:cs="宋体"/>
                <w:kern w:val="0"/>
                <w:lang w:val="en-US" w:eastAsia="zh-CN"/>
              </w:rPr>
              <w:t>。</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701" w:right="1474" w:bottom="1814"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137"/>
        <w:gridCol w:w="1141"/>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汨罗市军队离休退休干部休养所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206" w:type="dxa"/>
            <w:gridSpan w:val="2"/>
            <w:vAlign w:val="center"/>
          </w:tcPr>
          <w:p>
            <w:pPr>
              <w:spacing w:line="240" w:lineRule="auto"/>
              <w:ind w:firstLine="420"/>
              <w:jc w:val="center"/>
              <w:rPr>
                <w:rFonts w:ascii="仿宋_GB2312" w:eastAsia="仿宋_GB2312"/>
                <w:kern w:val="0"/>
              </w:rPr>
            </w:pPr>
          </w:p>
        </w:tc>
        <w:tc>
          <w:tcPr>
            <w:tcW w:w="1141"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206"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41"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46.39</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176.17</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176.17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 xml:space="preserve">   176.17</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176.17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176.17</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114.85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组织协调落实全市移交地方的离休退休军人、符合条件的其他退役军人和无军籍退休退职职工的住房保障工作，以及退役军人医疗保障、社会保险等待遇保障工作。</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基本完成了军休离退休人员服务相关工作，保障军休人员基本权益。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13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41"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基本支出经费</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46.39万元</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176.17万元</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各项经费按政策执行率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经费及时拨付率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较好地完成部门预决算工作，严格按照进度执行预算，各项指标完成较好，实现了良好的社会效益</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积极打造军休之家，让军休人员感到温暖</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4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构建基本满足军休人员需要的优质服务，维护军休人员稳定</w:t>
            </w:r>
          </w:p>
        </w:tc>
        <w:tc>
          <w:tcPr>
            <w:tcW w:w="1298"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13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41" w:type="dxa"/>
            <w:vAlign w:val="center"/>
          </w:tcPr>
          <w:p>
            <w:pPr>
              <w:spacing w:line="240" w:lineRule="auto"/>
              <w:jc w:val="center"/>
              <w:rPr>
                <w:rFonts w:ascii="仿宋_GB2312" w:eastAsia="仿宋_GB2312"/>
                <w:kern w:val="0"/>
              </w:rPr>
            </w:pPr>
            <w:r>
              <w:rPr>
                <w:rFonts w:hint="eastAsia" w:ascii="仿宋_GB2312" w:eastAsia="仿宋_GB2312"/>
                <w:kern w:val="0"/>
              </w:rPr>
              <w:t>军休人员满意度</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98</w:t>
            </w:r>
            <w:r>
              <w:rPr>
                <w:rFonts w:hint="eastAsia" w:ascii="仿宋_GB2312" w:eastAsia="仿宋_GB2312"/>
                <w:kern w:val="0"/>
              </w:rPr>
              <w:t>%</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13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14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严格控制经费预算不超标</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hAnsi="Arial" w:eastAsia="仿宋_GB2312" w:cs="Arial"/>
                <w:snapToGrid w:val="0"/>
                <w:color w:val="000000"/>
                <w:kern w:val="0"/>
                <w:sz w:val="21"/>
                <w:szCs w:val="21"/>
                <w:lang w:val="en-US" w:eastAsia="zh-CN" w:bidi="ar-SA"/>
              </w:rPr>
              <w:t>≧95%</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r>
              <w:rPr>
                <w:rFonts w:hint="eastAsia" w:ascii="仿宋_GB2312" w:eastAsia="仿宋_GB2312"/>
                <w:kern w:val="0"/>
              </w:rPr>
              <w:t>%</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13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4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13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41"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不适用</w:t>
            </w: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jc w:val="center"/>
              <w:rPr>
                <w:rFonts w:ascii="仿宋_GB2312" w:eastAsia="仿宋_GB2312"/>
                <w:kern w:val="0"/>
              </w:rPr>
            </w:pPr>
          </w:p>
        </w:tc>
      </w:tr>
    </w:tbl>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both"/>
              <w:rPr>
                <w:rFonts w:ascii="仿宋_GB2312" w:hAnsi="宋体" w:eastAsia="仿宋_GB2312" w:cs="宋体"/>
                <w:kern w:val="0"/>
                <w:lang w:eastAsia="zh-CN"/>
              </w:rPr>
            </w:pPr>
          </w:p>
        </w:tc>
        <w:tc>
          <w:tcPr>
            <w:tcW w:w="1383" w:type="dxa"/>
            <w:vAlign w:val="center"/>
          </w:tcPr>
          <w:p>
            <w:pPr>
              <w:spacing w:line="240" w:lineRule="auto"/>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510" w:right="1474" w:bottom="624"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汨罗市军队离休退休干部修养所</w:t>
      </w:r>
    </w:p>
    <w:p>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06 </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 xml:space="preserve"> 20</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hint="eastAsia" w:ascii="黑体" w:hAnsi="黑体" w:eastAsia="黑体" w:cs="黑体"/>
          <w:spacing w:val="16"/>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汨</w:t>
      </w:r>
      <w:r>
        <w:rPr>
          <w:rFonts w:hint="eastAsia" w:ascii="黑体" w:hAnsi="黑体" w:eastAsia="黑体" w:cs="黑体"/>
          <w:spacing w:val="16"/>
          <w:sz w:val="40"/>
          <w:szCs w:val="40"/>
          <w:lang w:eastAsia="zh-CN"/>
        </w:rPr>
        <w:t>罗市军队离休退休干部休养所</w:t>
      </w:r>
    </w:p>
    <w:p>
      <w:pPr>
        <w:spacing w:before="130" w:line="221" w:lineRule="auto"/>
        <w:jc w:val="center"/>
        <w:rPr>
          <w:rFonts w:ascii="黑体" w:hAnsi="黑体" w:eastAsia="黑体" w:cs="黑体"/>
          <w:sz w:val="40"/>
          <w:szCs w:val="40"/>
        </w:rPr>
      </w:pPr>
      <w:r>
        <w:rPr>
          <w:rFonts w:hint="eastAsia" w:ascii="黑体" w:hAnsi="黑体" w:eastAsia="黑体" w:cs="黑体"/>
          <w:spacing w:val="16"/>
          <w:sz w:val="40"/>
          <w:szCs w:val="40"/>
          <w:lang w:eastAsia="zh-CN"/>
        </w:rPr>
        <w:t>部门</w:t>
      </w:r>
      <w:r>
        <w:rPr>
          <w:rFonts w:ascii="黑体" w:hAnsi="黑体" w:eastAsia="黑体" w:cs="黑体"/>
          <w:spacing w:val="16"/>
          <w:sz w:val="40"/>
          <w:szCs w:val="40"/>
        </w:rPr>
        <w:t>整体支出绩效自评报告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（一）单位职责</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1、  根据省级民政部门下达的年度接收安置计划，负责军休干部、无军籍职工的安置和接收安置工作。</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 、全面落实军休干部、无军籍职工政治待遇和生活待遇，为军休干部、无军籍职工老有所养、老有所医、老有所教、老有所学、老有所为、老有所乐创造条件。</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3 、根据工作实际，及时研究解决军休干部服务管理工作中的重要问题，协调有关部门研究解决无军籍职工服务管理重要问题。</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（二）机构设置及决算单位构成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汨罗市军队离休退休干部休养所属于退役军人事务局二级机构，只有本级，没有其他决算单位，因此纳入2022年决算编制的范围仅包括汨罗市军队离休退休干部休养所本级。</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基本支出主要是保障机构正常运转、完成日常工作任务而发生的各项支出，包括在职和退休人员工资福利支出、三公经费、水电、办公经费等商品和服务支出。</w:t>
      </w:r>
    </w:p>
    <w:p>
      <w:pPr>
        <w:spacing w:line="600" w:lineRule="exact"/>
        <w:ind w:firstLine="640" w:firstLineChars="200"/>
        <w:jc w:val="both"/>
        <w:rPr>
          <w:rFonts w:hint="eastAsia" w:eastAsia="仿宋_GB2312"/>
          <w:kern w:val="0"/>
          <w:sz w:val="32"/>
          <w:szCs w:val="32"/>
          <w:lang w:eastAsia="zh-CN"/>
        </w:rPr>
      </w:pPr>
      <w:r>
        <w:rPr>
          <w:rFonts w:hint="default" w:eastAsia="仿宋_GB2312"/>
          <w:kern w:val="0"/>
          <w:sz w:val="32"/>
          <w:szCs w:val="32"/>
          <w:lang w:eastAsia="zh-CN"/>
        </w:rPr>
        <w:t>1、基本支出具体使用情况：基本支出合计</w:t>
      </w:r>
      <w:r>
        <w:rPr>
          <w:rFonts w:hint="eastAsia" w:eastAsia="仿宋_GB2312"/>
          <w:kern w:val="0"/>
          <w:sz w:val="32"/>
          <w:szCs w:val="32"/>
          <w:lang w:val="en-US" w:eastAsia="zh-CN"/>
        </w:rPr>
        <w:t>61.32</w:t>
      </w:r>
      <w:r>
        <w:rPr>
          <w:rFonts w:hint="default" w:eastAsia="仿宋_GB2312"/>
          <w:kern w:val="0"/>
          <w:sz w:val="32"/>
          <w:szCs w:val="32"/>
          <w:lang w:eastAsia="zh-CN"/>
        </w:rPr>
        <w:t>万元，其中工资福利支出为</w:t>
      </w:r>
      <w:r>
        <w:rPr>
          <w:rFonts w:hint="eastAsia" w:eastAsia="仿宋_GB2312"/>
          <w:kern w:val="0"/>
          <w:sz w:val="32"/>
          <w:szCs w:val="32"/>
          <w:lang w:val="en-US" w:eastAsia="zh-CN"/>
        </w:rPr>
        <w:t>40.78</w:t>
      </w:r>
      <w:r>
        <w:rPr>
          <w:rFonts w:hint="default" w:eastAsia="仿宋_GB2312"/>
          <w:kern w:val="0"/>
          <w:sz w:val="32"/>
          <w:szCs w:val="32"/>
          <w:lang w:eastAsia="zh-CN"/>
        </w:rPr>
        <w:t>万元；商品和服务支出为</w:t>
      </w:r>
      <w:r>
        <w:rPr>
          <w:rFonts w:hint="eastAsia" w:eastAsia="仿宋_GB2312"/>
          <w:kern w:val="0"/>
          <w:sz w:val="32"/>
          <w:szCs w:val="32"/>
          <w:lang w:val="en-US" w:eastAsia="zh-CN"/>
        </w:rPr>
        <w:t>16.95</w:t>
      </w:r>
      <w:r>
        <w:rPr>
          <w:rFonts w:hint="default" w:eastAsia="仿宋_GB2312"/>
          <w:kern w:val="0"/>
          <w:sz w:val="32"/>
          <w:szCs w:val="32"/>
          <w:lang w:eastAsia="zh-CN"/>
        </w:rPr>
        <w:t>万元；对个人和家庭的补助为</w:t>
      </w:r>
      <w:r>
        <w:rPr>
          <w:rFonts w:hint="eastAsia" w:eastAsia="仿宋_GB2312"/>
          <w:kern w:val="0"/>
          <w:sz w:val="32"/>
          <w:szCs w:val="32"/>
          <w:lang w:val="en-US" w:eastAsia="zh-CN"/>
        </w:rPr>
        <w:t>3.59</w:t>
      </w:r>
      <w:r>
        <w:rPr>
          <w:rFonts w:hint="default" w:eastAsia="仿宋_GB2312"/>
          <w:kern w:val="0"/>
          <w:sz w:val="32"/>
          <w:szCs w:val="32"/>
          <w:lang w:eastAsia="zh-CN"/>
        </w:rPr>
        <w:t>万元；资本性支出为0</w:t>
      </w:r>
      <w:r>
        <w:rPr>
          <w:rFonts w:hint="eastAsia" w:eastAsia="仿宋_GB2312"/>
          <w:kern w:val="0"/>
          <w:sz w:val="32"/>
          <w:szCs w:val="32"/>
          <w:lang w:eastAsia="zh-CN"/>
        </w:rPr>
        <w:t>万元</w:t>
      </w:r>
      <w:r>
        <w:rPr>
          <w:rFonts w:hint="default" w:eastAsia="仿宋_GB2312"/>
          <w:kern w:val="0"/>
          <w:sz w:val="32"/>
          <w:szCs w:val="32"/>
          <w:lang w:eastAsia="zh-CN"/>
        </w:rPr>
        <w:t>。</w:t>
      </w:r>
    </w:p>
    <w:p>
      <w:pPr>
        <w:spacing w:line="600" w:lineRule="exact"/>
        <w:ind w:firstLine="640" w:firstLineChars="200"/>
        <w:jc w:val="both"/>
        <w:rPr>
          <w:rFonts w:hint="eastAsia" w:ascii="Times New Roman" w:hAnsi="Times New Roman" w:eastAsia="仿宋_GB2312"/>
          <w:kern w:val="0"/>
          <w:sz w:val="32"/>
          <w:szCs w:val="32"/>
          <w:lang w:eastAsia="zh-CN"/>
        </w:rPr>
      </w:pPr>
      <w:r>
        <w:rPr>
          <w:rFonts w:hint="default" w:eastAsia="仿宋_GB2312"/>
          <w:kern w:val="0"/>
          <w:sz w:val="32"/>
          <w:szCs w:val="32"/>
          <w:lang w:eastAsia="zh-CN"/>
        </w:rPr>
        <w:t>2、三公经费具体支出情况：我局202</w:t>
      </w:r>
      <w:r>
        <w:rPr>
          <w:rFonts w:hint="eastAsia" w:eastAsia="仿宋_GB2312"/>
          <w:kern w:val="0"/>
          <w:sz w:val="32"/>
          <w:szCs w:val="32"/>
          <w:lang w:val="en-US" w:eastAsia="zh-CN"/>
        </w:rPr>
        <w:t>2</w:t>
      </w:r>
      <w:r>
        <w:rPr>
          <w:rFonts w:hint="default" w:eastAsia="仿宋_GB2312"/>
          <w:kern w:val="0"/>
          <w:sz w:val="32"/>
          <w:szCs w:val="32"/>
          <w:lang w:eastAsia="zh-CN"/>
        </w:rPr>
        <w:t>年三公经费总支出为</w:t>
      </w:r>
      <w:r>
        <w:rPr>
          <w:rFonts w:hint="eastAsia" w:eastAsia="仿宋_GB2312"/>
          <w:kern w:val="0"/>
          <w:sz w:val="32"/>
          <w:szCs w:val="32"/>
          <w:lang w:val="en-US" w:eastAsia="zh-CN"/>
        </w:rPr>
        <w:t>2.29</w:t>
      </w:r>
      <w:r>
        <w:rPr>
          <w:rFonts w:hint="default" w:eastAsia="仿宋_GB2312"/>
          <w:kern w:val="0"/>
          <w:sz w:val="32"/>
          <w:szCs w:val="32"/>
          <w:lang w:eastAsia="zh-CN"/>
        </w:rPr>
        <w:t>万元，其中公务接待费</w:t>
      </w:r>
      <w:r>
        <w:rPr>
          <w:rFonts w:hint="eastAsia" w:eastAsia="仿宋_GB2312"/>
          <w:kern w:val="0"/>
          <w:sz w:val="32"/>
          <w:szCs w:val="32"/>
          <w:lang w:val="en-US" w:eastAsia="zh-CN"/>
        </w:rPr>
        <w:t>0.53</w:t>
      </w:r>
      <w:r>
        <w:rPr>
          <w:rFonts w:hint="default" w:eastAsia="仿宋_GB2312"/>
          <w:kern w:val="0"/>
          <w:sz w:val="32"/>
          <w:szCs w:val="32"/>
          <w:lang w:eastAsia="zh-CN"/>
        </w:rPr>
        <w:t>元；公务用车运行维护费</w:t>
      </w:r>
      <w:r>
        <w:rPr>
          <w:rFonts w:hint="eastAsia" w:eastAsia="仿宋_GB2312"/>
          <w:kern w:val="0"/>
          <w:sz w:val="32"/>
          <w:szCs w:val="32"/>
          <w:lang w:val="en-US" w:eastAsia="zh-CN"/>
        </w:rPr>
        <w:t>1.76</w:t>
      </w:r>
      <w:r>
        <w:rPr>
          <w:rFonts w:hint="default" w:eastAsia="仿宋_GB2312"/>
          <w:kern w:val="0"/>
          <w:sz w:val="32"/>
          <w:szCs w:val="32"/>
          <w:lang w:eastAsia="zh-CN"/>
        </w:rPr>
        <w:t>万元，因公出国(境)支出为0</w:t>
      </w:r>
      <w:r>
        <w:rPr>
          <w:rFonts w:hint="eastAsia" w:eastAsia="仿宋_GB2312"/>
          <w:kern w:val="0"/>
          <w:sz w:val="32"/>
          <w:szCs w:val="32"/>
          <w:lang w:eastAsia="zh-CN"/>
        </w:rPr>
        <w:t>万元</w:t>
      </w:r>
      <w:r>
        <w:rPr>
          <w:rFonts w:hint="default" w:eastAsia="仿宋_GB2312"/>
          <w:kern w:val="0"/>
          <w:sz w:val="32"/>
          <w:szCs w:val="32"/>
          <w:lang w:eastAsia="zh-CN"/>
        </w:rPr>
        <w:t>。</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项目支出系我</w:t>
      </w:r>
      <w:r>
        <w:rPr>
          <w:rFonts w:hint="default" w:eastAsia="仿宋_GB2312"/>
          <w:kern w:val="0"/>
          <w:sz w:val="32"/>
          <w:szCs w:val="32"/>
          <w:lang w:val="en-US" w:eastAsia="zh-CN"/>
        </w:rPr>
        <w:t>所为完成军队离退休干部休养服务管理工作而发生的支出。202</w:t>
      </w:r>
      <w:r>
        <w:rPr>
          <w:rFonts w:hint="eastAsia" w:eastAsia="仿宋_GB2312"/>
          <w:kern w:val="0"/>
          <w:sz w:val="32"/>
          <w:szCs w:val="32"/>
          <w:lang w:val="en-US" w:eastAsia="zh-CN"/>
        </w:rPr>
        <w:t>2</w:t>
      </w:r>
      <w:r>
        <w:rPr>
          <w:rFonts w:hint="default" w:eastAsia="仿宋_GB2312"/>
          <w:kern w:val="0"/>
          <w:sz w:val="32"/>
          <w:szCs w:val="32"/>
          <w:lang w:val="en-US" w:eastAsia="zh-CN"/>
        </w:rPr>
        <w:t>年项目支出</w:t>
      </w:r>
      <w:r>
        <w:rPr>
          <w:rFonts w:hint="eastAsia" w:eastAsia="仿宋_GB2312"/>
          <w:kern w:val="0"/>
          <w:sz w:val="32"/>
          <w:szCs w:val="32"/>
          <w:lang w:val="en-US" w:eastAsia="zh-CN"/>
        </w:rPr>
        <w:t>114.85</w:t>
      </w:r>
      <w:r>
        <w:rPr>
          <w:rFonts w:hint="default" w:eastAsia="仿宋_GB2312"/>
          <w:kern w:val="0"/>
          <w:sz w:val="32"/>
          <w:szCs w:val="32"/>
          <w:lang w:val="en-US" w:eastAsia="zh-CN"/>
        </w:rPr>
        <w:t>万元</w:t>
      </w:r>
      <w:r>
        <w:rPr>
          <w:rFonts w:hint="eastAsia" w:eastAsia="仿宋_GB2312"/>
          <w:kern w:val="0"/>
          <w:sz w:val="32"/>
          <w:szCs w:val="32"/>
          <w:lang w:val="en-US" w:eastAsia="zh-CN"/>
        </w:rPr>
        <w:t>，主要</w:t>
      </w:r>
      <w:r>
        <w:rPr>
          <w:rFonts w:hint="default" w:eastAsia="仿宋_GB2312"/>
          <w:kern w:val="0"/>
          <w:sz w:val="32"/>
          <w:szCs w:val="32"/>
          <w:lang w:val="en-US" w:eastAsia="zh-CN"/>
        </w:rPr>
        <w:t>包括</w:t>
      </w:r>
      <w:r>
        <w:rPr>
          <w:rFonts w:hint="eastAsia" w:eastAsia="仿宋_GB2312"/>
          <w:kern w:val="0"/>
          <w:sz w:val="32"/>
          <w:szCs w:val="32"/>
          <w:lang w:val="en-US" w:eastAsia="zh-CN"/>
        </w:rPr>
        <w:t>军休干部工资补贴、遗属生活补助、</w:t>
      </w:r>
      <w:r>
        <w:rPr>
          <w:rFonts w:hint="default" w:eastAsia="仿宋_GB2312"/>
          <w:kern w:val="0"/>
          <w:sz w:val="32"/>
          <w:szCs w:val="32"/>
          <w:lang w:val="en-US" w:eastAsia="zh-CN"/>
        </w:rPr>
        <w:t>丧葬抚恤费、军干管理经费、军休人员经费等方面。</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2022年度本单位无政府性基金预算支出。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9"/>
        <w:spacing w:line="600" w:lineRule="exact"/>
        <w:ind w:firstLine="643"/>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US" w:eastAsia="zh-CN"/>
        </w:rPr>
        <w:t>2022年度本单位无国有资本经营预算支出。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9"/>
        <w:spacing w:line="600" w:lineRule="exact"/>
        <w:ind w:firstLine="643"/>
        <w:jc w:val="both"/>
        <w:rPr>
          <w:rFonts w:hint="eastAsia" w:ascii="方正黑体_GBK" w:eastAsia="方正黑体_GBK"/>
          <w:kern w:val="0"/>
          <w:sz w:val="32"/>
          <w:szCs w:val="32"/>
          <w:lang w:eastAsia="zh-CN"/>
        </w:rPr>
      </w:pPr>
      <w:r>
        <w:rPr>
          <w:rFonts w:hint="eastAsia" w:ascii="Times New Roman" w:hAnsi="Times New Roman" w:eastAsia="仿宋_GB2312"/>
          <w:kern w:val="0"/>
          <w:sz w:val="32"/>
          <w:szCs w:val="32"/>
          <w:lang w:val="en-US" w:eastAsia="zh-CN"/>
        </w:rPr>
        <w:t>2022年度本单位无社会保险基金预算支出。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w:t>
      </w:r>
      <w:r>
        <w:rPr>
          <w:rFonts w:hint="default" w:eastAsia="仿宋_GB2312"/>
          <w:kern w:val="0"/>
          <w:sz w:val="32"/>
          <w:szCs w:val="32"/>
          <w:lang w:val="en-US" w:eastAsia="zh-CN"/>
        </w:rPr>
        <w:t>一）待遇落实精准，联包服务细心。年初为每位军休干部个人、退休支部分别订阅了党报党刊和生活保健类报刊杂志，供军休干部学习；坚持军休干部每周阅文和每月政治理论学习制度；按照上级文件和部队命令件不折不扣地落实军休干部应享受的生活待遇，及时发放军休干部的各项增资调资、各类补助补贴。</w:t>
      </w:r>
    </w:p>
    <w:p>
      <w:pPr>
        <w:spacing w:line="600" w:lineRule="exact"/>
        <w:ind w:firstLine="640" w:firstLineChars="200"/>
        <w:jc w:val="both"/>
        <w:rPr>
          <w:rFonts w:hint="default" w:eastAsia="仿宋_GB2312"/>
          <w:kern w:val="0"/>
          <w:sz w:val="32"/>
          <w:szCs w:val="32"/>
          <w:lang w:eastAsia="zh-CN"/>
        </w:rPr>
      </w:pPr>
      <w:r>
        <w:rPr>
          <w:rFonts w:hint="default" w:eastAsia="仿宋_GB2312"/>
          <w:kern w:val="0"/>
          <w:sz w:val="32"/>
          <w:szCs w:val="32"/>
          <w:lang w:val="en-US" w:eastAsia="zh-CN"/>
        </w:rPr>
        <w:t>（</w:t>
      </w:r>
      <w:r>
        <w:rPr>
          <w:rFonts w:hint="eastAsia" w:eastAsia="仿宋_GB2312"/>
          <w:kern w:val="0"/>
          <w:sz w:val="32"/>
          <w:szCs w:val="32"/>
          <w:lang w:val="en-US" w:eastAsia="zh-CN"/>
        </w:rPr>
        <w:t>二</w:t>
      </w:r>
      <w:r>
        <w:rPr>
          <w:rFonts w:hint="default" w:eastAsia="仿宋_GB2312"/>
          <w:kern w:val="0"/>
          <w:sz w:val="32"/>
          <w:szCs w:val="32"/>
          <w:lang w:val="en-US" w:eastAsia="zh-CN"/>
        </w:rPr>
        <w:t>）文体活动丰富，军干生活舒心。开展“老兵永远跟党走·传承红色基因，续写军旅荣光”作品征集活动；开展“、“党在我心中，中国共产党百年成就”图片展活动、军休干部“口述历史”征集活动。开展军休干部棋牌队、门球队活动，形成每日有活动、每月有比赛的浓厚氛围；积极组队参加全省军休运动会和</w:t>
      </w:r>
      <w:r>
        <w:rPr>
          <w:rFonts w:hint="eastAsia" w:eastAsia="仿宋_GB2312"/>
          <w:kern w:val="0"/>
          <w:sz w:val="32"/>
          <w:szCs w:val="32"/>
          <w:lang w:val="en-US" w:eastAsia="zh-CN"/>
        </w:rPr>
        <w:t>其他</w:t>
      </w:r>
      <w:r>
        <w:rPr>
          <w:rFonts w:hint="default" w:eastAsia="仿宋_GB2312"/>
          <w:kern w:val="0"/>
          <w:sz w:val="32"/>
          <w:szCs w:val="32"/>
          <w:lang w:val="en-US" w:eastAsia="zh-CN"/>
        </w:rPr>
        <w:t>各类老年人比赛</w:t>
      </w:r>
      <w:r>
        <w:rPr>
          <w:rFonts w:hint="eastAsia" w:eastAsia="仿宋_GB2312"/>
          <w:kern w:val="0"/>
          <w:sz w:val="32"/>
          <w:szCs w:val="32"/>
          <w:lang w:val="en-US" w:eastAsia="zh-CN"/>
        </w:rPr>
        <w:t>。</w:t>
      </w:r>
    </w:p>
    <w:p>
      <w:pPr>
        <w:spacing w:line="600" w:lineRule="exact"/>
        <w:ind w:firstLine="640" w:firstLineChars="200"/>
        <w:jc w:val="both"/>
        <w:rPr>
          <w:rFonts w:hint="default" w:eastAsia="仿宋_GB2312"/>
          <w:kern w:val="0"/>
          <w:sz w:val="32"/>
          <w:szCs w:val="32"/>
          <w:lang w:eastAsia="zh-CN"/>
        </w:rPr>
      </w:pPr>
      <w:r>
        <w:rPr>
          <w:rFonts w:hint="default" w:eastAsia="仿宋_GB2312"/>
          <w:kern w:val="0"/>
          <w:sz w:val="32"/>
          <w:szCs w:val="32"/>
          <w:lang w:val="en-US" w:eastAsia="zh-CN"/>
        </w:rPr>
        <w:t>（四）购买社会化服务，社会服务贴心。引进定点医疗服务，与</w:t>
      </w:r>
      <w:r>
        <w:rPr>
          <w:rFonts w:hint="eastAsia" w:eastAsia="仿宋_GB2312"/>
          <w:kern w:val="0"/>
          <w:sz w:val="32"/>
          <w:szCs w:val="32"/>
          <w:lang w:val="en-US" w:eastAsia="zh-CN"/>
        </w:rPr>
        <w:t>常青医院</w:t>
      </w:r>
      <w:r>
        <w:rPr>
          <w:rFonts w:hint="default" w:eastAsia="仿宋_GB2312"/>
          <w:kern w:val="0"/>
          <w:sz w:val="32"/>
          <w:szCs w:val="32"/>
          <w:lang w:val="en-US" w:eastAsia="zh-CN"/>
        </w:rPr>
        <w:t>签定康养协议，邀请医院医生定期开展医疗保健知识讲座</w:t>
      </w:r>
      <w:r>
        <w:rPr>
          <w:rFonts w:hint="eastAsia" w:eastAsia="仿宋_GB2312"/>
          <w:kern w:val="0"/>
          <w:sz w:val="32"/>
          <w:szCs w:val="32"/>
          <w:lang w:val="en-US" w:eastAsia="zh-CN"/>
        </w:rPr>
        <w:t>。</w:t>
      </w:r>
      <w:r>
        <w:rPr>
          <w:rFonts w:hint="default" w:eastAsia="仿宋_GB2312"/>
          <w:kern w:val="0"/>
          <w:sz w:val="32"/>
          <w:szCs w:val="32"/>
          <w:lang w:val="en-US" w:eastAsia="zh-CN"/>
        </w:rPr>
        <w:t>对军干所院子进行管理，为军休干部提供现代化物业管理和贴心服务。</w:t>
      </w:r>
    </w:p>
    <w:p>
      <w:pPr>
        <w:spacing w:line="600" w:lineRule="exact"/>
        <w:ind w:firstLine="640" w:firstLineChars="200"/>
        <w:jc w:val="both"/>
        <w:rPr>
          <w:rFonts w:hint="eastAsia" w:eastAsia="仿宋_GB2312"/>
          <w:kern w:val="0"/>
          <w:sz w:val="32"/>
          <w:szCs w:val="32"/>
          <w:lang w:eastAsia="zh-CN"/>
        </w:rPr>
      </w:pPr>
      <w:r>
        <w:rPr>
          <w:rFonts w:hint="default" w:eastAsia="仿宋_GB2312"/>
          <w:kern w:val="0"/>
          <w:sz w:val="32"/>
          <w:szCs w:val="32"/>
          <w:lang w:val="en-US" w:eastAsia="zh-CN"/>
        </w:rPr>
        <w:t>（五）优化硬件建设，休养环境养心。改造退休党员活动室、军休党员学习书屋、书法室、棋牌室，方便军休干部开展党员活动和组织生活。购置了摄像机、手提电脑、多功能复印机等军休活动设备、充分保障了军休干部日常学习、红色宣讲和医疗服务志愿活动的开展。改造军休棋牌室，将军休干部学习和娱乐版块分区，避免了人员拥挤，满足了军休干部学习娱乐的需要。维修了院内道路裂缝和化粪池漏水，升级了门禁管理电子系统。院内活动设施配套齐全，军休干部休养环境大幅改善。</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（一）预算绩效观念不强，工作质量待提高</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部分职能部门对预算绩效管理工作重视程度还不足，缺乏主动性；对预算绩效管理工作的意义、框架、思路、操作规程认识不够深入，申报绩效目标不够明确，设计的评价指标体系不科学、不严谨；从财政职能方面看，财政收支矛盾仍然突出，运行经费不足。科学理财，强化职能作用。积极推进账务决算公开，不断提高财务透明度；严格兑现各项节支降费，增强单位发展动力。</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（二）评价指标体系不完善，实际操作有难度</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尽管绩效评价共性指标体系，但是对指标具体的设置没有统一的明确规定，没有针对性较强的个性评价指标体系可供预算单位借鉴。同时财政预算支出的范围在逐年扩大，新政策新情况不断出现，现有评价指标的针对性和适应性已降低，直接影响了绩效评价的质量。</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（三）绩效管理体系不健全，工作流程需优化</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我单位人数较少，因此在预算管理制度和预算支出管理方面做的还不够完善，应定期或不定期的对管理人员进行业务培训，提供交流平台，不断提高工作人员的政治思想和业务素质，将绩效考核作为日常工作的目标。</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2、项目预算不够准确，因项目资金安排上存在不可预见性，资金使用效益有待进一步提高。</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要采取召开会议、出台规范性文件、专题培训、分类指导等多种形式，组织财务人员学习预算绩效管理的法律法规、规范要求，让绩效理念深入人心、让绩效管理人员熟知政策。</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部门整体支出绩效自评结果将作为下一年度，各部门用款申请的重要依据，确保各部门提前制定资金使用计划，并尽最大可能提高资金使用的经济效益、社会效益和行政效能等，确保全年各项目标任务的圆满完成。2022年绩效自评情况拟在公示栏和官网上进行公开,切实做到部门预算支出使用规范、程序透明。</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bookmarkStart w:id="0" w:name="_GoBack"/>
      <w:bookmarkEnd w:id="0"/>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微软雅黑">
    <w:altName w:val="方正黑体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370371"/>
    <w:rsid w:val="57AE6D93"/>
    <w:rsid w:val="5FB623A7"/>
    <w:rsid w:val="6BDF2D22"/>
    <w:rsid w:val="6E3851B0"/>
    <w:rsid w:val="6F3FD60F"/>
    <w:rsid w:val="6F7FE00A"/>
    <w:rsid w:val="7ED67756"/>
    <w:rsid w:val="CF6B7041"/>
    <w:rsid w:val="F5D77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1893</Words>
  <Characters>1955</Characters>
  <TotalTime>0</TotalTime>
  <ScaleCrop>false</ScaleCrop>
  <LinksUpToDate>false</LinksUpToDate>
  <CharactersWithSpaces>2112</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thtf</cp:lastModifiedBy>
  <cp:lastPrinted>2024-05-22T06:05:00Z</cp:lastPrinted>
  <dcterms:modified xsi:type="dcterms:W3CDTF">2024-07-03T10:17:45Z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2052-11.8.2.11929</vt:lpwstr>
  </property>
  <property fmtid="{D5CDD505-2E9C-101B-9397-08002B2CF9AE}" pid="6" name="ICV">
    <vt:lpwstr>A1E9AC54BF58440288AD196632C2A254_12</vt:lpwstr>
  </property>
</Properties>
</file>