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hint="eastAsia" w:ascii="方正小标宋简体" w:hAnsi="宋体" w:eastAsia="方正小标宋简体" w:cs="宋体"/>
          <w:bCs/>
          <w:spacing w:val="8"/>
          <w:kern w:val="0"/>
          <w:sz w:val="44"/>
          <w:szCs w:val="44"/>
          <w:lang w:eastAsia="zh-CN"/>
        </w:rPr>
        <w:t>年度部门整体支出绩效评价基础</w:t>
      </w:r>
    </w:p>
    <w:p>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pPr>
        <w:spacing w:line="177" w:lineRule="exact"/>
        <w:ind w:firstLine="420"/>
        <w:jc w:val="left"/>
        <w:rPr>
          <w:kern w:val="0"/>
          <w:lang w:eastAsia="zh-CN"/>
        </w:rPr>
      </w:pPr>
    </w:p>
    <w:tbl>
      <w:tblPr>
        <w:tblStyle w:val="7"/>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71"/>
        <w:gridCol w:w="1158"/>
        <w:gridCol w:w="958"/>
        <w:gridCol w:w="960"/>
        <w:gridCol w:w="1079"/>
        <w:gridCol w:w="103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271" w:type="dxa"/>
            <w:vMerge w:val="restart"/>
            <w:tcBorders>
              <w:bottom w:val="nil"/>
            </w:tcBorders>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年实际在职人数</w:t>
            </w:r>
          </w:p>
        </w:tc>
        <w:tc>
          <w:tcPr>
            <w:tcW w:w="1983" w:type="dxa"/>
            <w:gridSpan w:val="2"/>
            <w:vAlign w:val="center"/>
          </w:tcPr>
          <w:p>
            <w:pPr>
              <w:spacing w:line="240" w:lineRule="auto"/>
              <w:ind w:firstLine="630" w:firstLineChars="300"/>
              <w:jc w:val="center"/>
              <w:rPr>
                <w:rFonts w:ascii="仿宋_GB2312" w:eastAsia="仿宋_GB2312"/>
                <w:kern w:val="0"/>
              </w:rPr>
            </w:pPr>
            <w:r>
              <w:rPr>
                <w:rFonts w:hint="eastAsia" w:ascii="仿宋_GB2312" w:hAnsi="宋体" w:eastAsia="仿宋_GB2312" w:cs="宋体"/>
                <w:kern w:val="0"/>
              </w:rPr>
              <w:t>控制率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spacing w:line="240" w:lineRule="auto"/>
              <w:ind w:firstLine="420"/>
              <w:jc w:val="center"/>
              <w:rPr>
                <w:rFonts w:ascii="仿宋_GB2312" w:eastAsia="仿宋_GB2312"/>
                <w:kern w:val="0"/>
              </w:rPr>
            </w:pP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161</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158</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98.13%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16"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1</w:t>
            </w:r>
            <w:r>
              <w:rPr>
                <w:rFonts w:hint="eastAsia" w:ascii="仿宋_GB2312" w:hAnsi="宋体" w:eastAsia="仿宋_GB2312" w:cs="宋体"/>
                <w:kern w:val="0"/>
              </w:rPr>
              <w:t>年决算数</w:t>
            </w:r>
          </w:p>
        </w:tc>
        <w:tc>
          <w:tcPr>
            <w:tcW w:w="2039"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年预算数</w:t>
            </w:r>
          </w:p>
        </w:tc>
        <w:tc>
          <w:tcPr>
            <w:tcW w:w="1983" w:type="dxa"/>
            <w:gridSpan w:val="2"/>
            <w:vAlign w:val="center"/>
          </w:tcPr>
          <w:p>
            <w:pPr>
              <w:spacing w:line="240" w:lineRule="auto"/>
              <w:ind w:firstLine="420"/>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25.57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271" w:type="dxa"/>
            <w:vAlign w:val="center"/>
          </w:tcPr>
          <w:p>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8.67</w:t>
            </w:r>
          </w:p>
        </w:tc>
        <w:tc>
          <w:tcPr>
            <w:tcW w:w="2039" w:type="dxa"/>
            <w:gridSpan w:val="2"/>
            <w:vAlign w:val="center"/>
          </w:tcPr>
          <w:p>
            <w:pPr>
              <w:spacing w:line="240" w:lineRule="auto"/>
              <w:ind w:firstLine="420"/>
              <w:jc w:val="center"/>
              <w:rPr>
                <w:rFonts w:hint="eastAsia" w:ascii="仿宋_GB2312" w:eastAsia="仿宋_GB2312"/>
                <w:kern w:val="0"/>
                <w:lang w:val="en-US" w:eastAsia="zh-CN"/>
              </w:rPr>
            </w:pP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hint="eastAsia" w:ascii="仿宋_GB2312" w:eastAsia="仿宋_GB2312"/>
                <w:kern w:val="0"/>
                <w:lang w:val="en-US" w:eastAsia="zh-CN"/>
              </w:rPr>
            </w:pPr>
            <w:bookmarkStart w:id="0" w:name="_GoBack"/>
            <w:bookmarkEnd w:id="0"/>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16.9</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31.2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271" w:type="dxa"/>
            <w:vAlign w:val="center"/>
          </w:tcPr>
          <w:p>
            <w:pPr>
              <w:spacing w:line="240" w:lineRule="auto"/>
              <w:ind w:firstLine="420"/>
              <w:jc w:val="both"/>
              <w:rPr>
                <w:rFonts w:hint="eastAsia" w:ascii="仿宋_GB2312" w:hAnsi="宋体" w:eastAsia="仿宋_GB2312" w:cs="宋体"/>
                <w:kern w:val="0"/>
                <w:lang w:eastAsia="zh-CN"/>
              </w:rPr>
            </w:pPr>
            <w:r>
              <w:rPr>
                <w:rFonts w:hint="eastAsia" w:ascii="仿宋_GB2312" w:eastAsia="仿宋_GB2312"/>
                <w:kern w:val="0"/>
                <w:lang w:eastAsia="zh-CN"/>
              </w:rPr>
              <w:t>3</w:t>
            </w:r>
            <w:r>
              <w:rPr>
                <w:rFonts w:hint="eastAsia" w:ascii="仿宋_GB2312" w:hAnsi="宋体" w:eastAsia="仿宋_GB2312" w:cs="宋体"/>
                <w:kern w:val="0"/>
                <w:lang w:eastAsia="zh-CN"/>
              </w:rPr>
              <w:t>、县级专项资金</w:t>
            </w:r>
          </w:p>
          <w:p>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w:t>
            </w:r>
            <w:r>
              <w:rPr>
                <w:rFonts w:hint="eastAsia" w:ascii="仿宋_GB2312" w:hAnsi="宋体" w:eastAsia="仿宋_GB2312" w:cs="宋体"/>
                <w:kern w:val="0"/>
                <w:lang w:eastAsia="zh-CN"/>
              </w:rPr>
              <w:t>一个专项一行</w:t>
            </w:r>
            <w:r>
              <w:rPr>
                <w:rFonts w:hint="eastAsia" w:ascii="仿宋_GB2312" w:eastAsia="仿宋_GB2312"/>
                <w:kern w:val="0"/>
                <w:lang w:eastAsia="zh-CN"/>
              </w:rPr>
              <w:t>)</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2605.14</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276.5</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431.79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23.98</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20.02</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27.23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71"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42.52</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41.6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16"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3.77</w:t>
            </w:r>
          </w:p>
        </w:tc>
        <w:tc>
          <w:tcPr>
            <w:tcW w:w="2039"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15.6</w:t>
            </w:r>
          </w:p>
        </w:tc>
        <w:tc>
          <w:tcPr>
            <w:tcW w:w="1983" w:type="dxa"/>
            <w:gridSpan w:val="2"/>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Align w:val="center"/>
          </w:tcPr>
          <w:p>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16" w:type="dxa"/>
            <w:gridSpan w:val="2"/>
            <w:vAlign w:val="center"/>
          </w:tcPr>
          <w:p>
            <w:pPr>
              <w:spacing w:line="240" w:lineRule="auto"/>
              <w:ind w:firstLine="420"/>
              <w:jc w:val="center"/>
              <w:rPr>
                <w:rFonts w:ascii="仿宋_GB2312" w:eastAsia="仿宋_GB2312"/>
                <w:kern w:val="0"/>
              </w:rPr>
            </w:pPr>
          </w:p>
        </w:tc>
        <w:tc>
          <w:tcPr>
            <w:tcW w:w="2039" w:type="dxa"/>
            <w:gridSpan w:val="2"/>
            <w:vAlign w:val="center"/>
          </w:tcPr>
          <w:p>
            <w:pPr>
              <w:spacing w:line="240" w:lineRule="auto"/>
              <w:ind w:firstLine="420"/>
              <w:jc w:val="center"/>
              <w:rPr>
                <w:rFonts w:ascii="仿宋_GB2312" w:eastAsia="仿宋_GB2312"/>
                <w:kern w:val="0"/>
              </w:rPr>
            </w:pPr>
          </w:p>
        </w:tc>
        <w:tc>
          <w:tcPr>
            <w:tcW w:w="1983" w:type="dxa"/>
            <w:gridSpan w:val="2"/>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271" w:type="dxa"/>
            <w:vAlign w:val="center"/>
          </w:tcPr>
          <w:p>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16" w:type="dxa"/>
            <w:gridSpan w:val="2"/>
            <w:vAlign w:val="center"/>
          </w:tcPr>
          <w:p>
            <w:pPr>
              <w:spacing w:line="240" w:lineRule="auto"/>
              <w:ind w:firstLine="420"/>
              <w:jc w:val="center"/>
              <w:rPr>
                <w:rFonts w:ascii="仿宋_GB2312" w:eastAsia="仿宋_GB2312"/>
                <w:kern w:val="0"/>
                <w:lang w:eastAsia="zh-CN"/>
              </w:rPr>
            </w:pPr>
          </w:p>
        </w:tc>
        <w:tc>
          <w:tcPr>
            <w:tcW w:w="2039" w:type="dxa"/>
            <w:gridSpan w:val="2"/>
            <w:vAlign w:val="center"/>
          </w:tcPr>
          <w:p>
            <w:pPr>
              <w:spacing w:line="240" w:lineRule="auto"/>
              <w:ind w:firstLine="420"/>
              <w:jc w:val="center"/>
              <w:rPr>
                <w:rFonts w:ascii="仿宋_GB2312" w:eastAsia="仿宋_GB2312"/>
                <w:kern w:val="0"/>
                <w:lang w:eastAsia="zh-CN"/>
              </w:rPr>
            </w:pPr>
          </w:p>
        </w:tc>
        <w:tc>
          <w:tcPr>
            <w:tcW w:w="1983" w:type="dxa"/>
            <w:gridSpan w:val="2"/>
            <w:vAlign w:val="center"/>
          </w:tcPr>
          <w:p>
            <w:pPr>
              <w:spacing w:line="240" w:lineRule="auto"/>
              <w:ind w:firstLine="420"/>
              <w:jc w:val="center"/>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3271" w:type="dxa"/>
            <w:vMerge w:val="restart"/>
            <w:tcBorders>
              <w:bottom w:val="nil"/>
            </w:tcBorders>
            <w:vAlign w:val="center"/>
          </w:tcPr>
          <w:p>
            <w:pPr>
              <w:spacing w:line="240" w:lineRule="auto"/>
              <w:ind w:firstLine="420"/>
              <w:jc w:val="center"/>
              <w:rPr>
                <w:rFonts w:ascii="仿宋_GB2312" w:eastAsia="仿宋_GB2312"/>
                <w:kern w:val="0"/>
                <w:lang w:eastAsia="zh-CN"/>
              </w:rPr>
            </w:pPr>
          </w:p>
          <w:p>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2</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1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271" w:type="dxa"/>
            <w:vMerge w:val="continue"/>
            <w:tcBorders>
              <w:top w:val="nil"/>
            </w:tcBorders>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1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3271" w:type="dxa"/>
            <w:vAlign w:val="center"/>
          </w:tcPr>
          <w:p>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138" w:type="dxa"/>
            <w:gridSpan w:val="6"/>
            <w:vAlign w:val="center"/>
          </w:tcPr>
          <w:p>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r>
              <w:rPr>
                <w:rFonts w:hint="eastAsia" w:eastAsia="宋体"/>
                <w:lang w:eastAsia="zh-CN"/>
              </w:rPr>
              <w:t>严控差旅、接待、会议等办公经费支出，既要加大力度，严格控制费用支出，也要实事求是，确属必需的费用，该支出的要支出；该投入的要投入。重点是减少和压缩不必要、不合理、不紧急的支出项目，节省费用空间。</w:t>
            </w:r>
          </w:p>
        </w:tc>
      </w:tr>
    </w:tbl>
    <w:p>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湛妍</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18390187752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周灿文</w:t>
      </w:r>
    </w:p>
    <w:p>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年度部门整体支出绩效自评表</w:t>
      </w:r>
    </w:p>
    <w:p>
      <w:pPr>
        <w:spacing w:line="237" w:lineRule="exact"/>
        <w:ind w:firstLine="420"/>
        <w:jc w:val="left"/>
        <w:rPr>
          <w:kern w:val="0"/>
          <w:lang w:eastAsia="zh-CN"/>
        </w:rPr>
      </w:pPr>
    </w:p>
    <w:tbl>
      <w:tblPr>
        <w:tblStyle w:val="7"/>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汨罗市林业局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pPr>
              <w:spacing w:line="240" w:lineRule="auto"/>
              <w:ind w:firstLine="420"/>
              <w:jc w:val="center"/>
              <w:rPr>
                <w:rFonts w:ascii="仿宋_GB2312" w:eastAsia="仿宋_GB2312"/>
                <w:kern w:val="0"/>
              </w:rPr>
            </w:pP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2098" w:type="dxa"/>
            <w:gridSpan w:val="2"/>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1829.59</w:t>
            </w:r>
          </w:p>
        </w:tc>
        <w:tc>
          <w:tcPr>
            <w:tcW w:w="1298"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1875.59</w:t>
            </w:r>
          </w:p>
        </w:tc>
        <w:tc>
          <w:tcPr>
            <w:tcW w:w="12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6963.7</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371.28%</w:t>
            </w:r>
          </w:p>
        </w:tc>
        <w:tc>
          <w:tcPr>
            <w:tcW w:w="1423"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1875.59</w:t>
            </w:r>
          </w:p>
        </w:tc>
        <w:tc>
          <w:tcPr>
            <w:tcW w:w="4260" w:type="dxa"/>
            <w:gridSpan w:val="4"/>
            <w:vAlign w:val="center"/>
          </w:tcPr>
          <w:p>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1749.59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政府性基金拨款：</w:t>
            </w:r>
          </w:p>
        </w:tc>
        <w:tc>
          <w:tcPr>
            <w:tcW w:w="4260"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126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lang w:eastAsia="zh-CN"/>
              </w:rPr>
              <w:t>纳入专户管理的非税收入拨款：</w:t>
            </w:r>
            <w:r>
              <w:rPr>
                <w:rFonts w:hint="eastAsia" w:ascii="仿宋_GB2312" w:hAnsi="宋体" w:eastAsia="仿宋_GB2312" w:cs="宋体"/>
                <w:kern w:val="0"/>
                <w:lang w:val="en-US" w:eastAsia="zh-CN"/>
              </w:rPr>
              <w:t>46</w:t>
            </w:r>
          </w:p>
        </w:tc>
        <w:tc>
          <w:tcPr>
            <w:tcW w:w="4260" w:type="dxa"/>
            <w:gridSpan w:val="4"/>
            <w:vAlign w:val="center"/>
          </w:tcPr>
          <w:p>
            <w:pPr>
              <w:spacing w:line="240" w:lineRule="auto"/>
              <w:ind w:firstLine="420"/>
              <w:jc w:val="left"/>
              <w:rPr>
                <w:rFonts w:ascii="仿宋_GB2312" w:eastAsia="仿宋_GB2312"/>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pPr>
              <w:spacing w:line="240" w:lineRule="auto"/>
              <w:ind w:firstLine="420"/>
              <w:jc w:val="center"/>
              <w:rPr>
                <w:rFonts w:ascii="仿宋_GB2312" w:eastAsia="仿宋_GB2312"/>
                <w:kern w:val="0"/>
                <w:lang w:eastAsia="zh-CN"/>
              </w:rPr>
            </w:pPr>
          </w:p>
        </w:tc>
        <w:tc>
          <w:tcPr>
            <w:tcW w:w="4645" w:type="dxa"/>
            <w:gridSpan w:val="4"/>
            <w:vAlign w:val="center"/>
          </w:tcPr>
          <w:p>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pPr>
              <w:spacing w:line="240" w:lineRule="auto"/>
              <w:ind w:firstLine="420"/>
              <w:jc w:val="center"/>
              <w:rPr>
                <w:rFonts w:ascii="仿宋_GB2312" w:eastAsia="仿宋_GB2312"/>
                <w:kern w:val="0"/>
              </w:rPr>
            </w:pPr>
          </w:p>
        </w:tc>
        <w:tc>
          <w:tcPr>
            <w:tcW w:w="4645" w:type="dxa"/>
            <w:gridSpan w:val="4"/>
            <w:vAlign w:val="center"/>
          </w:tcPr>
          <w:p>
            <w:pPr>
              <w:spacing w:line="240" w:lineRule="auto"/>
              <w:ind w:firstLine="420"/>
              <w:jc w:val="center"/>
              <w:rPr>
                <w:rFonts w:hint="eastAsia" w:ascii="仿宋_GB2312" w:eastAsia="仿宋_GB2312"/>
                <w:kern w:val="0"/>
              </w:rPr>
            </w:pPr>
            <w:r>
              <w:rPr>
                <w:rFonts w:hint="eastAsia" w:ascii="仿宋_GB2312" w:eastAsia="仿宋_GB2312"/>
                <w:kern w:val="0"/>
              </w:rPr>
              <w:t>1：“瞄准三个目标--省、市、县先进，突出三个重点--森林城市创建、森林公园申报、植物园建设，夯实三个基础--城乡绿化、资源保护、基础建设，守住三条底线—森林防火、安全生产、工作作风”的工作思路，发展各项林业工作。</w:t>
            </w:r>
          </w:p>
          <w:p>
            <w:pPr>
              <w:spacing w:line="240" w:lineRule="auto"/>
              <w:ind w:firstLine="420"/>
              <w:jc w:val="center"/>
              <w:rPr>
                <w:rFonts w:hint="eastAsia" w:ascii="仿宋_GB2312" w:eastAsia="仿宋_GB2312"/>
                <w:kern w:val="0"/>
              </w:rPr>
            </w:pPr>
            <w:r>
              <w:rPr>
                <w:rFonts w:hint="eastAsia" w:ascii="仿宋_GB2312" w:eastAsia="仿宋_GB2312"/>
                <w:kern w:val="0"/>
              </w:rPr>
              <w:t>2：做好森林防火及林权改革工作</w:t>
            </w:r>
          </w:p>
          <w:p>
            <w:pPr>
              <w:spacing w:line="240" w:lineRule="auto"/>
              <w:ind w:firstLine="420"/>
              <w:jc w:val="center"/>
              <w:rPr>
                <w:rFonts w:ascii="仿宋_GB2312" w:eastAsia="仿宋_GB2312"/>
                <w:kern w:val="0"/>
              </w:rPr>
            </w:pPr>
            <w:r>
              <w:rPr>
                <w:rFonts w:hint="eastAsia" w:ascii="仿宋_GB2312" w:eastAsia="仿宋_GB2312"/>
                <w:kern w:val="0"/>
              </w:rPr>
              <w:t xml:space="preserve">3：搞好湿地保护工作                                                                                          4：做好古树名木及大树保护工作                                                                                  5：帮助各村集体和贫困户种植油茶，推动乡村振兴战略和脱贫攻坚工作   </w:t>
            </w:r>
          </w:p>
        </w:tc>
        <w:tc>
          <w:tcPr>
            <w:tcW w:w="4260" w:type="dxa"/>
            <w:gridSpan w:val="4"/>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pPr>
              <w:spacing w:line="240" w:lineRule="auto"/>
              <w:ind w:firstLine="420"/>
              <w:jc w:val="center"/>
              <w:rPr>
                <w:rFonts w:ascii="仿宋_GB2312" w:eastAsia="仿宋_GB2312"/>
                <w:kern w:val="0"/>
              </w:rPr>
            </w:pPr>
          </w:p>
          <w:p>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pPr>
              <w:spacing w:line="240" w:lineRule="auto"/>
              <w:ind w:firstLine="420"/>
              <w:jc w:val="center"/>
              <w:rPr>
                <w:rFonts w:ascii="仿宋_GB2312" w:eastAsia="仿宋_GB2312"/>
                <w:kern w:val="0"/>
              </w:rPr>
            </w:pPr>
          </w:p>
          <w:p>
            <w:pPr>
              <w:spacing w:line="240" w:lineRule="auto"/>
              <w:ind w:firstLine="420"/>
              <w:jc w:val="center"/>
              <w:rPr>
                <w:rFonts w:ascii="仿宋_GB2312" w:eastAsia="仿宋_GB2312"/>
                <w:kern w:val="0"/>
              </w:rPr>
            </w:pPr>
          </w:p>
        </w:tc>
        <w:tc>
          <w:tcPr>
            <w:tcW w:w="10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产出指标</w:t>
            </w:r>
          </w:p>
          <w:p>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1、森林覆盖率达到50%</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2、大面造林20000亩</w:t>
            </w:r>
          </w:p>
        </w:tc>
        <w:tc>
          <w:tcPr>
            <w:tcW w:w="1298" w:type="dxa"/>
            <w:vAlign w:val="center"/>
          </w:tcPr>
          <w:p>
            <w:pPr>
              <w:spacing w:line="240" w:lineRule="auto"/>
              <w:ind w:firstLine="420"/>
              <w:jc w:val="center"/>
              <w:rPr>
                <w:rFonts w:ascii="仿宋_GB2312" w:eastAsia="仿宋_GB2312"/>
                <w:kern w:val="0"/>
              </w:rPr>
            </w:pPr>
            <w:r>
              <w:rPr>
                <w:rFonts w:hint="eastAsia"/>
              </w:rPr>
              <w:t>完成</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1、G240绿化</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2、绿色通道</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高标准完成任务</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1-12月</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按时完成任务</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按时完成任务</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林下经济</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restart"/>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1、湿地公园</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民众观光、休闲的好去处</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民众观光、休闲的好去处</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vMerge w:val="continue"/>
            <w:tcBorders>
              <w:top w:val="nil"/>
            </w:tcBorders>
            <w:vAlign w:val="center"/>
          </w:tcPr>
          <w:p>
            <w:pPr>
              <w:spacing w:line="240" w:lineRule="auto"/>
              <w:ind w:firstLine="420"/>
              <w:jc w:val="center"/>
              <w:rPr>
                <w:rFonts w:ascii="仿宋_GB2312" w:eastAsia="仿宋_GB2312"/>
                <w:kern w:val="0"/>
              </w:rPr>
            </w:pP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2、林业科技园</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森林康养基地</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森林康养基地</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绿色可持续发展</w:t>
            </w:r>
          </w:p>
        </w:tc>
        <w:tc>
          <w:tcPr>
            <w:tcW w:w="1298"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w:t>
            </w:r>
          </w:p>
        </w:tc>
        <w:tc>
          <w:tcPr>
            <w:tcW w:w="1269" w:type="dxa"/>
            <w:vAlign w:val="center"/>
          </w:tcPr>
          <w:p>
            <w:pPr>
              <w:spacing w:line="240" w:lineRule="auto"/>
              <w:ind w:firstLine="420"/>
              <w:jc w:val="center"/>
              <w:rPr>
                <w:rFonts w:hint="eastAsia" w:ascii="仿宋_GB2312" w:eastAsia="仿宋_GB2312"/>
                <w:kern w:val="0"/>
                <w:lang w:eastAsia="zh-CN"/>
              </w:rPr>
            </w:pPr>
            <w:r>
              <w:rPr>
                <w:rFonts w:hint="eastAsia" w:ascii="仿宋_GB2312" w:eastAsia="仿宋_GB2312"/>
                <w:kern w:val="0"/>
                <w:lang w:eastAsia="zh-CN"/>
              </w:rPr>
              <w:t>完成</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pPr>
              <w:spacing w:line="240" w:lineRule="auto"/>
              <w:ind w:firstLine="420"/>
              <w:jc w:val="center"/>
              <w:rPr>
                <w:rFonts w:ascii="仿宋_GB2312" w:eastAsia="仿宋_GB2312"/>
                <w:kern w:val="0"/>
              </w:rPr>
            </w:pP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生态平衡和生态系统</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良好、高效循环</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良好、高效循环</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满意度指标</w:t>
            </w:r>
          </w:p>
          <w:p>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社会公众满意度</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100%</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专项专用、控制成本</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控制成本</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严格控制</w:t>
            </w:r>
          </w:p>
        </w:tc>
        <w:tc>
          <w:tcPr>
            <w:tcW w:w="69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869" w:type="dxa"/>
            <w:vAlign w:val="center"/>
          </w:tcPr>
          <w:p>
            <w:pPr>
              <w:spacing w:line="240" w:lineRule="auto"/>
              <w:ind w:firstLine="420"/>
              <w:jc w:val="center"/>
              <w:rPr>
                <w:rFonts w:hint="eastAsia" w:ascii="仿宋_GB2312" w:eastAsia="仿宋_GB2312"/>
                <w:kern w:val="0"/>
                <w:lang w:val="en-US" w:eastAsia="zh-CN"/>
              </w:rPr>
            </w:pPr>
            <w:r>
              <w:rPr>
                <w:rFonts w:hint="eastAsia" w:ascii="仿宋_GB2312" w:eastAsia="仿宋_GB2312"/>
                <w:kern w:val="0"/>
                <w:lang w:val="en-US" w:eastAsia="zh-CN"/>
              </w:rPr>
              <w:t>5</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pPr>
              <w:spacing w:line="240" w:lineRule="auto"/>
              <w:ind w:firstLine="420"/>
              <w:jc w:val="center"/>
              <w:rPr>
                <w:rFonts w:ascii="仿宋_GB2312" w:eastAsia="仿宋_GB2312"/>
                <w:kern w:val="0"/>
              </w:rPr>
            </w:pPr>
          </w:p>
        </w:tc>
        <w:tc>
          <w:tcPr>
            <w:tcW w:w="1069" w:type="dxa"/>
            <w:vMerge w:val="continue"/>
            <w:vAlign w:val="center"/>
          </w:tcPr>
          <w:p>
            <w:pPr>
              <w:spacing w:line="240" w:lineRule="auto"/>
              <w:ind w:firstLine="420"/>
              <w:jc w:val="center"/>
              <w:rPr>
                <w:rFonts w:ascii="仿宋_GB2312" w:eastAsia="仿宋_GB2312"/>
                <w:kern w:val="0"/>
              </w:rPr>
            </w:pPr>
          </w:p>
        </w:tc>
        <w:tc>
          <w:tcPr>
            <w:tcW w:w="1029" w:type="dxa"/>
            <w:tcBorders>
              <w:top w:val="nil"/>
            </w:tcBorders>
            <w:vAlign w:val="center"/>
          </w:tcPr>
          <w:p>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林木种苗</w:t>
            </w:r>
          </w:p>
        </w:tc>
        <w:tc>
          <w:tcPr>
            <w:tcW w:w="1298"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1269" w:type="dxa"/>
            <w:vAlign w:val="center"/>
          </w:tcPr>
          <w:p>
            <w:pPr>
              <w:spacing w:line="240" w:lineRule="auto"/>
              <w:ind w:firstLine="420"/>
              <w:jc w:val="center"/>
              <w:rPr>
                <w:rFonts w:ascii="仿宋_GB2312" w:eastAsia="仿宋_GB2312"/>
                <w:kern w:val="0"/>
              </w:rPr>
            </w:pPr>
            <w:r>
              <w:rPr>
                <w:rFonts w:hint="eastAsia" w:ascii="仿宋_GB2312" w:eastAsia="仿宋_GB2312"/>
                <w:kern w:val="0"/>
              </w:rPr>
              <w:t>发展良好</w:t>
            </w:r>
          </w:p>
        </w:tc>
        <w:tc>
          <w:tcPr>
            <w:tcW w:w="69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w:t>
            </w:r>
          </w:p>
        </w:tc>
        <w:tc>
          <w:tcPr>
            <w:tcW w:w="1423" w:type="dxa"/>
            <w:vAlign w:val="center"/>
          </w:tcPr>
          <w:p>
            <w:pPr>
              <w:spacing w:line="240" w:lineRule="auto"/>
              <w:ind w:firstLine="420"/>
              <w:jc w:val="center"/>
              <w:rPr>
                <w:rFonts w:ascii="仿宋_GB2312" w:eastAsia="仿宋_GB2312"/>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pPr>
              <w:spacing w:line="240" w:lineRule="auto"/>
              <w:ind w:firstLine="420"/>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pPr>
              <w:spacing w:line="240" w:lineRule="auto"/>
              <w:ind w:firstLine="420"/>
              <w:jc w:val="center"/>
              <w:rPr>
                <w:rFonts w:ascii="仿宋_GB2312" w:eastAsia="仿宋_GB2312"/>
                <w:kern w:val="0"/>
              </w:rPr>
            </w:pPr>
          </w:p>
        </w:tc>
      </w:tr>
    </w:tbl>
    <w:p>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填表人：</w:t>
      </w:r>
      <w:r>
        <w:rPr>
          <w:rFonts w:hint="eastAsia" w:ascii="仿宋_GB2312" w:hAnsi="宋体" w:eastAsia="仿宋_GB2312" w:cs="宋体"/>
          <w:snapToGrid w:val="0"/>
          <w:color w:val="000000"/>
          <w:sz w:val="21"/>
          <w:szCs w:val="21"/>
          <w:lang w:val="en-US" w:eastAsia="zh-CN" w:bidi="ar-SA"/>
        </w:rPr>
        <w:t>湛妍</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w:t>
      </w:r>
      <w:r>
        <w:rPr>
          <w:rFonts w:hint="eastAsia" w:ascii="仿宋_GB2312" w:hAnsi="宋体" w:eastAsia="仿宋_GB2312" w:cs="宋体"/>
          <w:snapToGrid w:val="0"/>
          <w:color w:val="000000"/>
          <w:sz w:val="21"/>
          <w:szCs w:val="21"/>
          <w:lang w:val="en-US" w:eastAsia="zh-CN" w:bidi="ar-SA"/>
        </w:rPr>
        <w:t>2023.6.24</w:t>
      </w:r>
      <w:r>
        <w:rPr>
          <w:rFonts w:ascii="仿宋_GB2312" w:hAnsi="宋体" w:eastAsia="仿宋_GB2312" w:cs="宋体"/>
          <w:snapToGrid w:val="0"/>
          <w:color w:val="000000"/>
          <w:sz w:val="21"/>
          <w:szCs w:val="21"/>
          <w:lang w:val="en-US" w:eastAsia="zh-CN" w:bidi="ar-SA"/>
        </w:rPr>
        <w:t xml:space="preserve">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w:t>
      </w:r>
      <w:r>
        <w:rPr>
          <w:rFonts w:hint="eastAsia" w:ascii="仿宋_GB2312" w:hAnsi="宋体" w:eastAsia="仿宋_GB2312" w:cs="宋体"/>
          <w:snapToGrid w:val="0"/>
          <w:color w:val="000000"/>
          <w:sz w:val="21"/>
          <w:szCs w:val="21"/>
          <w:lang w:val="en-US" w:eastAsia="zh-CN" w:bidi="ar-SA"/>
        </w:rPr>
        <w:t>18390187752</w:t>
      </w:r>
      <w:r>
        <w:rPr>
          <w:rFonts w:ascii="仿宋_GB2312" w:hAnsi="宋体" w:eastAsia="仿宋_GB2312" w:cs="宋体"/>
          <w:snapToGrid w:val="0"/>
          <w:color w:val="000000"/>
          <w:sz w:val="21"/>
          <w:szCs w:val="21"/>
          <w:lang w:val="en-US" w:eastAsia="zh-CN" w:bidi="ar-SA"/>
        </w:rPr>
        <w:t xml:space="preserve">  单位负责人签字：</w:t>
      </w:r>
      <w:r>
        <w:rPr>
          <w:rFonts w:hint="eastAsia" w:ascii="仿宋_GB2312" w:hAnsi="宋体" w:eastAsia="仿宋_GB2312" w:cs="宋体"/>
          <w:snapToGrid w:val="0"/>
          <w:color w:val="000000"/>
          <w:sz w:val="21"/>
          <w:szCs w:val="21"/>
          <w:lang w:val="en-US" w:eastAsia="zh-CN" w:bidi="ar-SA"/>
        </w:rPr>
        <w:t>周灿文</w:t>
      </w:r>
      <w:r>
        <w:rPr>
          <w:rFonts w:ascii="仿宋_GB2312" w:hAnsi="宋体" w:eastAsia="仿宋_GB2312" w:cs="宋体"/>
          <w:snapToGrid w:val="0"/>
          <w:color w:val="000000"/>
          <w:sz w:val="35"/>
          <w:szCs w:val="35"/>
          <w:lang w:val="en-US" w:eastAsia="zh-CN" w:bidi="ar-SA"/>
        </w:rPr>
        <w:t xml:space="preserve"> </w:t>
      </w:r>
    </w:p>
    <w:p>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2</w:t>
      </w:r>
      <w:r>
        <w:rPr>
          <w:rFonts w:ascii="方正小标宋简体" w:hAnsi="宋体" w:eastAsia="方正小标宋简体" w:cs="宋体"/>
          <w:bCs/>
          <w:spacing w:val="8"/>
          <w:kern w:val="0"/>
          <w:sz w:val="44"/>
          <w:szCs w:val="44"/>
          <w:lang w:eastAsia="zh-CN"/>
        </w:rPr>
        <w:t>年度项目支出绩效自评表</w:t>
      </w:r>
    </w:p>
    <w:p>
      <w:pPr>
        <w:spacing w:line="95" w:lineRule="exact"/>
        <w:ind w:firstLine="420"/>
        <w:jc w:val="left"/>
        <w:rPr>
          <w:kern w:val="0"/>
          <w:lang w:eastAsia="zh-CN"/>
        </w:rPr>
      </w:pPr>
    </w:p>
    <w:tbl>
      <w:tblPr>
        <w:tblStyle w:val="7"/>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油茶产业发展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经建股</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汨罗市林业局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pPr>
              <w:spacing w:line="240" w:lineRule="auto"/>
              <w:ind w:firstLine="420"/>
              <w:jc w:val="center"/>
              <w:rPr>
                <w:rFonts w:ascii="仿宋_GB2312" w:hAnsi="宋体" w:eastAsia="仿宋_GB2312" w:cs="宋体"/>
                <w:kern w:val="0"/>
                <w:lang w:eastAsia="zh-CN"/>
              </w:rPr>
            </w:pPr>
          </w:p>
        </w:tc>
        <w:tc>
          <w:tcPr>
            <w:tcW w:w="1020"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1099" w:type="dxa"/>
            <w:vAlign w:val="center"/>
          </w:tcPr>
          <w:p>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50</w:t>
            </w:r>
          </w:p>
        </w:tc>
        <w:tc>
          <w:tcPr>
            <w:tcW w:w="80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100%</w:t>
            </w:r>
          </w:p>
        </w:tc>
        <w:tc>
          <w:tcPr>
            <w:tcW w:w="1383"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1099" w:type="dxa"/>
            <w:vAlign w:val="center"/>
          </w:tcPr>
          <w:p>
            <w:pPr>
              <w:spacing w:line="240" w:lineRule="auto"/>
              <w:ind w:firstLine="420"/>
              <w:jc w:val="center"/>
              <w:rPr>
                <w:rFonts w:ascii="仿宋_GB2312" w:hAnsi="宋体" w:eastAsia="仿宋_GB2312" w:cs="宋体"/>
                <w:kern w:val="0"/>
                <w:lang w:eastAsia="zh-CN"/>
              </w:rPr>
            </w:pPr>
          </w:p>
        </w:tc>
        <w:tc>
          <w:tcPr>
            <w:tcW w:w="809" w:type="dxa"/>
            <w:vAlign w:val="center"/>
          </w:tcPr>
          <w:p>
            <w:pPr>
              <w:spacing w:line="240" w:lineRule="auto"/>
              <w:ind w:firstLine="420"/>
              <w:jc w:val="center"/>
              <w:rPr>
                <w:rFonts w:ascii="仿宋_GB2312" w:hAnsi="宋体" w:eastAsia="仿宋_GB2312" w:cs="宋体"/>
                <w:kern w:val="0"/>
                <w:lang w:eastAsia="zh-CN"/>
              </w:rPr>
            </w:pPr>
          </w:p>
        </w:tc>
        <w:tc>
          <w:tcPr>
            <w:tcW w:w="849" w:type="dxa"/>
            <w:vAlign w:val="center"/>
          </w:tcPr>
          <w:p>
            <w:pPr>
              <w:spacing w:line="240" w:lineRule="auto"/>
              <w:ind w:firstLine="420"/>
              <w:jc w:val="center"/>
              <w:rPr>
                <w:rFonts w:ascii="仿宋_GB2312" w:hAnsi="宋体" w:eastAsia="仿宋_GB2312" w:cs="宋体"/>
                <w:kern w:val="0"/>
                <w:lang w:eastAsia="zh-CN"/>
              </w:rPr>
            </w:pPr>
          </w:p>
        </w:tc>
        <w:tc>
          <w:tcPr>
            <w:tcW w:w="1383" w:type="dxa"/>
            <w:vAlign w:val="center"/>
          </w:tcPr>
          <w:p>
            <w:pPr>
              <w:spacing w:line="240" w:lineRule="auto"/>
              <w:ind w:firstLine="420"/>
              <w:jc w:val="center"/>
              <w:rPr>
                <w:rFonts w:ascii="仿宋_GB2312" w:hAnsi="宋体" w:eastAsia="仿宋_GB2312" w:cs="宋体"/>
                <w:kern w:val="0"/>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lang w:eastAsia="zh-CN"/>
              </w:rPr>
            </w:pPr>
          </w:p>
        </w:tc>
        <w:tc>
          <w:tcPr>
            <w:tcW w:w="2277" w:type="dxa"/>
            <w:gridSpan w:val="2"/>
            <w:vAlign w:val="center"/>
          </w:tcPr>
          <w:p>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1099" w:type="dxa"/>
            <w:vAlign w:val="center"/>
          </w:tcPr>
          <w:p>
            <w:pPr>
              <w:spacing w:line="240" w:lineRule="auto"/>
              <w:ind w:firstLine="420"/>
              <w:jc w:val="center"/>
              <w:rPr>
                <w:rFonts w:ascii="仿宋_GB2312" w:hAnsi="宋体" w:eastAsia="仿宋_GB2312" w:cs="宋体"/>
                <w:kern w:val="0"/>
              </w:rPr>
            </w:pPr>
          </w:p>
        </w:tc>
        <w:tc>
          <w:tcPr>
            <w:tcW w:w="809" w:type="dxa"/>
            <w:vAlign w:val="center"/>
          </w:tcPr>
          <w:p>
            <w:pPr>
              <w:spacing w:line="240" w:lineRule="auto"/>
              <w:ind w:firstLine="420"/>
              <w:jc w:val="center"/>
              <w:rPr>
                <w:rFonts w:ascii="仿宋_GB2312" w:hAnsi="宋体" w:eastAsia="仿宋_GB2312" w:cs="宋体"/>
                <w:kern w:val="0"/>
              </w:rPr>
            </w:pP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pPr>
              <w:spacing w:line="240" w:lineRule="auto"/>
              <w:ind w:firstLine="420"/>
              <w:jc w:val="center"/>
              <w:rPr>
                <w:rFonts w:ascii="仿宋_GB2312" w:hAnsi="宋体" w:eastAsia="仿宋_GB2312" w:cs="宋体"/>
                <w:kern w:val="0"/>
              </w:rPr>
            </w:pPr>
          </w:p>
        </w:tc>
        <w:tc>
          <w:tcPr>
            <w:tcW w:w="4396" w:type="dxa"/>
            <w:gridSpan w:val="4"/>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各级党组织上下联动、凝聚党群力量，市直部门单位、村（社区）的党员干部在各镇村的田间地头，掀起了“荒山变银行、党建焕光芒”油茶种植助推脱贫攻坚主题党日活动的热潮，帮助各村集体和贫困户种植油茶，推动乡村振兴战略和脱贫攻坚工作。</w:t>
            </w:r>
          </w:p>
        </w:tc>
        <w:tc>
          <w:tcPr>
            <w:tcW w:w="4140" w:type="dxa"/>
            <w:gridSpan w:val="4"/>
            <w:vAlign w:val="center"/>
          </w:tcPr>
          <w:p>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pPr>
              <w:spacing w:line="240" w:lineRule="auto"/>
              <w:ind w:firstLine="420"/>
              <w:jc w:val="center"/>
              <w:rPr>
                <w:rFonts w:ascii="仿宋_GB2312" w:hAnsi="宋体" w:eastAsia="仿宋_GB2312" w:cs="宋体"/>
                <w:kern w:val="0"/>
              </w:rPr>
            </w:pPr>
          </w:p>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全市种植油茶50万余株，种植面积7000亩</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保证苗木成活率98%</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高质量完成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高质量完成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湿地保护、降低森林火灾</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年产值810万元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按目标完成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为24000多个贫困人口提供有效的致富途径</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高质量完成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rPr>
              <w:t>高质量完成</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有效改善生态环境</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高效完成</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pPr>
              <w:spacing w:line="240" w:lineRule="auto"/>
              <w:ind w:firstLine="420"/>
              <w:jc w:val="center"/>
              <w:rPr>
                <w:rFonts w:ascii="仿宋_GB2312" w:hAnsi="宋体" w:eastAsia="仿宋_GB2312" w:cs="宋体"/>
                <w:kern w:val="0"/>
              </w:rPr>
            </w:pP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生态平衡和生态系统</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健康推进</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健康推进</w:t>
            </w:r>
          </w:p>
        </w:tc>
        <w:tc>
          <w:tcPr>
            <w:tcW w:w="80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849" w:type="dxa"/>
            <w:vAlign w:val="center"/>
          </w:tcPr>
          <w:p>
            <w:pPr>
              <w:spacing w:line="240" w:lineRule="auto"/>
              <w:ind w:firstLine="420"/>
              <w:jc w:val="both"/>
              <w:rPr>
                <w:rFonts w:hint="eastAsia" w:ascii="仿宋_GB2312" w:hAnsi="宋体" w:eastAsia="仿宋_GB2312" w:cs="宋体"/>
                <w:kern w:val="0"/>
                <w:lang w:val="en-US" w:eastAsia="zh-CN"/>
              </w:rPr>
            </w:pPr>
            <w:r>
              <w:rPr>
                <w:rFonts w:hint="eastAsia" w:ascii="仿宋_GB2312" w:hAnsi="宋体" w:eastAsia="仿宋_GB2312" w:cs="宋体"/>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满意</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1099" w:type="dxa"/>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100%</w:t>
            </w:r>
          </w:p>
        </w:tc>
        <w:tc>
          <w:tcPr>
            <w:tcW w:w="80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849" w:type="dxa"/>
            <w:vAlign w:val="center"/>
          </w:tcPr>
          <w:p>
            <w:pPr>
              <w:spacing w:line="240" w:lineRule="auto"/>
              <w:ind w:firstLine="42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专项专用、控制成本</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严格控制</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严格控制</w:t>
            </w:r>
          </w:p>
        </w:tc>
        <w:tc>
          <w:tcPr>
            <w:tcW w:w="809"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控制成本</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严格控制</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严格控制</w:t>
            </w:r>
          </w:p>
        </w:tc>
        <w:tc>
          <w:tcPr>
            <w:tcW w:w="809"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849" w:type="dxa"/>
            <w:vAlign w:val="center"/>
          </w:tcPr>
          <w:p>
            <w:pPr>
              <w:spacing w:line="240" w:lineRule="auto"/>
              <w:ind w:firstLine="420" w:firstLineChars="0"/>
              <w:jc w:val="both"/>
              <w:rPr>
                <w:rFonts w:hint="eastAsia"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5</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林木种苗</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发展良好</w:t>
            </w:r>
          </w:p>
        </w:tc>
        <w:tc>
          <w:tcPr>
            <w:tcW w:w="1099" w:type="dxa"/>
            <w:vAlign w:val="center"/>
          </w:tcPr>
          <w:p>
            <w:pPr>
              <w:spacing w:line="240" w:lineRule="auto"/>
              <w:ind w:firstLine="420" w:firstLineChars="0"/>
              <w:jc w:val="center"/>
              <w:rPr>
                <w:rFonts w:ascii="仿宋_GB2312" w:hAnsi="Arial" w:eastAsia="仿宋_GB2312" w:cs="Arial"/>
                <w:snapToGrid w:val="0"/>
                <w:color w:val="000000"/>
                <w:kern w:val="0"/>
                <w:sz w:val="21"/>
                <w:szCs w:val="21"/>
                <w:lang w:val="en-US" w:eastAsia="en-US" w:bidi="ar-SA"/>
              </w:rPr>
            </w:pPr>
            <w:r>
              <w:rPr>
                <w:rFonts w:hint="eastAsia" w:ascii="仿宋_GB2312" w:eastAsia="仿宋_GB2312"/>
                <w:kern w:val="0"/>
              </w:rPr>
              <w:t>发展良好</w:t>
            </w:r>
          </w:p>
        </w:tc>
        <w:tc>
          <w:tcPr>
            <w:tcW w:w="80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849" w:type="dxa"/>
            <w:vAlign w:val="center"/>
          </w:tcPr>
          <w:p>
            <w:pPr>
              <w:spacing w:line="240" w:lineRule="auto"/>
              <w:ind w:firstLine="420" w:firstLineChars="0"/>
              <w:jc w:val="both"/>
              <w:rPr>
                <w:rFonts w:hint="default" w:ascii="仿宋_GB2312" w:hAnsi="Arial" w:eastAsia="仿宋_GB2312" w:cs="Arial"/>
                <w:snapToGrid w:val="0"/>
                <w:color w:val="000000"/>
                <w:kern w:val="0"/>
                <w:sz w:val="21"/>
                <w:szCs w:val="21"/>
                <w:lang w:val="en-US" w:eastAsia="zh-CN" w:bidi="ar-SA"/>
              </w:rPr>
            </w:pPr>
            <w:r>
              <w:rPr>
                <w:rFonts w:hint="eastAsia" w:ascii="仿宋_GB2312" w:eastAsia="仿宋_GB2312"/>
                <w:kern w:val="0"/>
                <w:lang w:val="en-US" w:eastAsia="zh-CN"/>
              </w:rPr>
              <w:t>10</w:t>
            </w:r>
          </w:p>
        </w:tc>
        <w:tc>
          <w:tcPr>
            <w:tcW w:w="1383" w:type="dxa"/>
            <w:vAlign w:val="center"/>
          </w:tcPr>
          <w:p>
            <w:pPr>
              <w:spacing w:line="240" w:lineRule="auto"/>
              <w:ind w:firstLine="420"/>
              <w:jc w:val="center"/>
              <w:rPr>
                <w:rFonts w:ascii="仿宋_GB2312" w:hAnsi="宋体"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pPr>
              <w:spacing w:line="240" w:lineRule="auto"/>
              <w:ind w:firstLine="420"/>
              <w:jc w:val="center"/>
              <w:rPr>
                <w:rFonts w:ascii="仿宋_GB2312" w:hAnsi="宋体" w:eastAsia="仿宋_GB2312" w:cs="宋体"/>
                <w:kern w:val="0"/>
              </w:rPr>
            </w:pPr>
          </w:p>
        </w:tc>
        <w:tc>
          <w:tcPr>
            <w:tcW w:w="1383" w:type="dxa"/>
            <w:vAlign w:val="center"/>
          </w:tcPr>
          <w:p>
            <w:pPr>
              <w:spacing w:line="240" w:lineRule="auto"/>
              <w:ind w:firstLine="420"/>
              <w:jc w:val="center"/>
              <w:rPr>
                <w:rFonts w:ascii="仿宋_GB2312" w:hAnsi="宋体" w:eastAsia="仿宋_GB2312" w:cs="宋体"/>
                <w:kern w:val="0"/>
              </w:rPr>
            </w:pPr>
          </w:p>
        </w:tc>
      </w:tr>
    </w:tbl>
    <w:p>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pPr>
        <w:spacing w:line="240" w:lineRule="auto"/>
        <w:ind w:firstLine="420"/>
        <w:jc w:val="left"/>
        <w:rPr>
          <w:rFonts w:ascii="宋体" w:hAnsi="宋体" w:eastAsia="宋体" w:cs="宋体"/>
          <w:kern w:val="0"/>
          <w:lang w:eastAsia="zh-CN"/>
        </w:rPr>
      </w:pPr>
    </w:p>
    <w:p>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填表人：湛妍</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hint="eastAsia" w:ascii="仿宋_GB2312" w:hAnsi="宋体" w:eastAsia="仿宋_GB2312" w:cs="宋体"/>
          <w:kern w:val="0"/>
          <w:lang w:val="en-US" w:eastAsia="zh-CN"/>
        </w:rPr>
        <w:t>2023.6.24</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hint="eastAsia" w:ascii="仿宋_GB2312" w:hAnsi="宋体" w:eastAsia="仿宋_GB2312" w:cs="宋体"/>
          <w:kern w:val="0"/>
          <w:lang w:val="en-US" w:eastAsia="zh-CN"/>
        </w:rPr>
        <w:t>18390187752</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单位负责人签字:周灿文</w:t>
      </w: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hint="eastAsia" w:ascii="方正小标宋简体" w:eastAsia="方正小标宋简体"/>
          <w:kern w:val="0"/>
          <w:sz w:val="44"/>
          <w:szCs w:val="44"/>
          <w:lang w:eastAsia="zh-CN"/>
        </w:rPr>
      </w:pPr>
    </w:p>
    <w:p>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eastAsia="方正小标宋简体"/>
          <w:kern w:val="0"/>
          <w:sz w:val="44"/>
          <w:szCs w:val="44"/>
          <w:lang w:eastAsia="zh-CN"/>
        </w:rPr>
        <w:t>202</w:t>
      </w:r>
      <w:r>
        <w:rPr>
          <w:rFonts w:hint="eastAsia" w:ascii="方正小标宋简体" w:eastAsia="方正小标宋简体"/>
          <w:kern w:val="0"/>
          <w:sz w:val="44"/>
          <w:szCs w:val="44"/>
          <w:lang w:val="en-US" w:eastAsia="zh-CN"/>
        </w:rPr>
        <w:t>2</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eastAsia="zh-CN"/>
        </w:rPr>
        <w:t>汨罗市林业系统</w:t>
      </w:r>
      <w:r>
        <w:rPr>
          <w:rFonts w:hint="eastAsia" w:ascii="方正小标宋简体" w:hAnsi="宋体" w:eastAsia="方正小标宋简体" w:cs="宋体"/>
          <w:kern w:val="0"/>
          <w:sz w:val="44"/>
          <w:szCs w:val="44"/>
          <w:lang w:eastAsia="zh-CN"/>
        </w:rPr>
        <w:t>部门整体支出</w:t>
      </w:r>
    </w:p>
    <w:p>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部门(单位)名称：汨罗市林业局</w:t>
      </w:r>
    </w:p>
    <w:p>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 xml:space="preserve">2023  </w:t>
      </w:r>
      <w:r>
        <w:rPr>
          <w:rFonts w:hint="eastAsia" w:ascii="楷体_GB2312" w:hAnsi="楷体" w:eastAsia="楷体_GB2312" w:cs="楷体"/>
          <w:b/>
          <w:bCs/>
          <w:spacing w:val="-13"/>
          <w:kern w:val="0"/>
          <w:sz w:val="32"/>
          <w:szCs w:val="32"/>
          <w:lang w:eastAsia="zh-CN"/>
        </w:rPr>
        <w:t xml:space="preserve">年  </w:t>
      </w:r>
      <w:r>
        <w:rPr>
          <w:rFonts w:hint="eastAsia" w:ascii="楷体_GB2312" w:hAnsi="楷体" w:eastAsia="楷体_GB2312" w:cs="楷体"/>
          <w:b/>
          <w:bCs/>
          <w:spacing w:val="-13"/>
          <w:kern w:val="0"/>
          <w:sz w:val="32"/>
          <w:szCs w:val="32"/>
          <w:lang w:val="en-US" w:eastAsia="zh-CN"/>
        </w:rPr>
        <w:t>6</w:t>
      </w:r>
      <w:r>
        <w:rPr>
          <w:rFonts w:hint="eastAsia" w:ascii="楷体_GB2312" w:hAnsi="楷体" w:eastAsia="楷体_GB2312" w:cs="楷体"/>
          <w:b/>
          <w:bCs/>
          <w:spacing w:val="-13"/>
          <w:kern w:val="0"/>
          <w:sz w:val="32"/>
          <w:szCs w:val="32"/>
          <w:lang w:eastAsia="zh-CN"/>
        </w:rPr>
        <w:t xml:space="preserve"> </w:t>
      </w:r>
      <w:r>
        <w:rPr>
          <w:rFonts w:hint="eastAsia" w:ascii="楷体_GB2312" w:hAnsi="楷体" w:eastAsia="楷体_GB2312" w:cs="楷体"/>
          <w:spacing w:val="-13"/>
          <w:kern w:val="0"/>
          <w:sz w:val="32"/>
          <w:szCs w:val="32"/>
          <w:lang w:eastAsia="zh-CN"/>
        </w:rPr>
        <w:t xml:space="preserve">月  </w:t>
      </w:r>
      <w:r>
        <w:rPr>
          <w:rFonts w:hint="eastAsia" w:ascii="楷体_GB2312" w:hAnsi="楷体" w:eastAsia="楷体_GB2312" w:cs="楷体"/>
          <w:spacing w:val="-13"/>
          <w:kern w:val="0"/>
          <w:sz w:val="32"/>
          <w:szCs w:val="32"/>
          <w:lang w:val="en-US" w:eastAsia="zh-CN"/>
        </w:rPr>
        <w:t>24</w:t>
      </w:r>
      <w:r>
        <w:rPr>
          <w:rFonts w:hint="eastAsia" w:ascii="楷体_GB2312" w:hAnsi="楷体" w:eastAsia="楷体_GB2312" w:cs="楷体"/>
          <w:spacing w:val="-13"/>
          <w:kern w:val="0"/>
          <w:sz w:val="32"/>
          <w:szCs w:val="32"/>
          <w:lang w:eastAsia="zh-CN"/>
        </w:rPr>
        <w:t xml:space="preserve">  </w:t>
      </w:r>
      <w:r>
        <w:rPr>
          <w:rFonts w:hint="eastAsia" w:ascii="楷体_GB2312" w:hAnsi="楷体" w:eastAsia="楷体_GB2312" w:cs="楷体"/>
          <w:b/>
          <w:bCs/>
          <w:spacing w:val="-13"/>
          <w:kern w:val="0"/>
          <w:sz w:val="32"/>
          <w:szCs w:val="32"/>
          <w:lang w:eastAsia="zh-CN"/>
        </w:rPr>
        <w:t>日</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3580075"/>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ind w:firstLine="360"/>
            <w:jc w:val="left"/>
            <w:rPr>
              <w:rFonts w:asciiTheme="minorEastAsia" w:hAnsiTheme="minorEastAsia" w:eastAsiaTheme="minorEastAsia"/>
              <w:kern w:val="0"/>
              <w:lang w:eastAsia="zh-CN"/>
            </w:rPr>
          </w:pPr>
        </w:p>
      </w:sdtContent>
    </w:sdt>
    <w:p>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202</w:t>
      </w:r>
      <w:r>
        <w:rPr>
          <w:rFonts w:hint="eastAsia" w:ascii="黑体" w:hAnsi="黑体" w:eastAsia="黑体" w:cs="黑体"/>
          <w:spacing w:val="16"/>
          <w:sz w:val="40"/>
          <w:szCs w:val="40"/>
          <w:lang w:val="en-US" w:eastAsia="zh-CN"/>
        </w:rPr>
        <w:t>2</w:t>
      </w:r>
      <w:r>
        <w:rPr>
          <w:rFonts w:ascii="黑体" w:hAnsi="黑体" w:eastAsia="黑体" w:cs="黑体"/>
          <w:spacing w:val="16"/>
          <w:sz w:val="40"/>
          <w:szCs w:val="40"/>
        </w:rPr>
        <w:t xml:space="preserve"> 年度</w:t>
      </w:r>
      <w:r>
        <w:rPr>
          <w:rFonts w:hint="eastAsia" w:ascii="黑体" w:hAnsi="黑体" w:eastAsia="黑体" w:cs="黑体"/>
          <w:spacing w:val="-60"/>
          <w:sz w:val="40"/>
          <w:szCs w:val="40"/>
          <w:lang w:eastAsia="zh-CN"/>
        </w:rPr>
        <w:t>汨罗市林业局</w:t>
      </w:r>
      <w:r>
        <w:rPr>
          <w:rFonts w:ascii="黑体" w:hAnsi="黑体" w:eastAsia="黑体" w:cs="黑体"/>
          <w:spacing w:val="16"/>
          <w:sz w:val="40"/>
          <w:szCs w:val="40"/>
        </w:rPr>
        <w:t>部门整体支出绩效</w:t>
      </w:r>
    </w:p>
    <w:p>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负责全市林业及其生态建设的监督管理;拟订林业及其生态建设的发展战略、中长期规划并监督实施；参与拟订有关市级标准和规程并指导实施；组织开展森林资源、陆生野生动植物资源、湿地和荒漠的调查、动态监测和评估，并统一发布相关信息；承担林业生态文明建设的有关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组织、协调、指导和监督全市造林绿化工作；制定全市造林绿化的指导性计划，组织拟订相关市级标准和规程并监督执行；指导、监管各类生态公益林和商品林的培育工作；组织指导林木种苗、林木花卉工作，指导植树造林、封山育林和以植树种草等生物措施防治水土流失工作，指导、监督全市义务植树、造林绿化工作；承担林业应对气候变化的相关工作；承担市绿化委员会的具体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承担森林资源保护发展监督管理的责任；组织、监督林业资源保护管理；组织编制并监督执行执行全市森林采伐限额，监督检查林木凭证采伐、运输；组织、指导林地、林权管理；组织实施林权登记、发证工作；拟订林地保护利用规划并指导实施，依法承担应由市政府审核批准的林地征用、占用的审核；协助管理国有林场的国有森林资源。</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组织、协调、指导和监督全市湿地保护工作；拟订区域性湿地保护规划；组织实施建立湿地保护小区、湿地公园等保护管理工作；组织、监督湿地的合理利用；组织、协调全市湿地保护和有关国际湿地公约的履约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5、组织、指导陆生野生动植物资源的保护和合理开发利用；指导陆生野生动植物的救护繁殖、栖息地恢复发展、疫源疫病监测；监督管理全市陆生野生动植物猎捕或采集、驯养繁殖或栽培、经营利用，监督管理野生动植物进出口；承担国家重点保护的陆生野生动物或其产品、陆生野生植物或其产品出口和中国参加的国际公约限制进出口的野生动物、野生植物进出口的审核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6、负责林业系统自然保护区的监督管理；在国家和省级自然保护区区划、规划原则的指导下，依法指导森林、湿地、荒漠化和陆生野生动植物类型自然保护区的建设和管理，监督管理林业生物种质资源、林业转基因生物安全、植物新品种保护；按分工负责生物多样性保护的有关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7、承担推进林业改革，维护农民经营林业的合法权益的责任；拟订集体林权制度等重大林业改革意见并指导监督实施；拟订全市农村林业发展、维护农民经营林业合法权益的政策措施，指导、监督农村林地承包经营和林权流转，指导林权纠纷调处和林地承包合同纠纷仲裁；依法负责退耕还林工作；指导国有林场（苗圃）、集体林场、森林公园和基层林业工作机构的建设和管理。</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8、合理调整林业产业发展布局，促进林业产业协调发展；监督检查各产业对森林、湿地、荒漠和陆生野生动植物资源的开发利用；制定林业资源优化配置政策；指导山区综合开发；负责油茶等经济树种的开发利用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9、承担组织、协调、指导、监督全市森林防火工作的责任；组织、协调、指导专业森林扑火队伍开展防扑火工作；承担市森林防火指挥部的具体工作；承担林业行政执法监管的责任，指导全市森林公安工作，监督管理森林公安队伍，指导全市林业重大违法案件的查处；指导林业有害生物的防治、检疫工作。</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10、参与拟订林业及其生态建设的财政、金融、价格、贸易等经济调节政策，组织、指导林业及其生态建设的生态补偿制度的建立和实施；编制部门预算并组织实施，提出市级财政林业专项转支付资金的预算建议，管理监督市级林业资金，管理市级林业国有资产；负责提出林业固定资产投资规模和方向、市级财政性资金安排建议；编制全市林业及其生态建设的年度生产计划。</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11、组织、指导林业及其生态建设的科技和外事工作；指导全市林业队伍的建设。</w:t>
      </w:r>
    </w:p>
    <w:p>
      <w:pPr>
        <w:pStyle w:val="9"/>
        <w:spacing w:line="600" w:lineRule="exact"/>
        <w:ind w:firstLine="643"/>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12、承办市委、市人民政府交办的其他事项。</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pPr>
        <w:pStyle w:val="9"/>
        <w:spacing w:line="600" w:lineRule="exact"/>
        <w:ind w:left="0" w:leftChars="0" w:firstLine="320" w:firstLineChars="100"/>
        <w:jc w:val="both"/>
        <w:rPr>
          <w:rFonts w:hint="eastAsia" w:ascii="Times New Roman" w:hAnsi="Times New Roman" w:eastAsia="仿宋_GB2312"/>
          <w:b w:val="0"/>
          <w:bCs/>
          <w:kern w:val="0"/>
          <w:sz w:val="32"/>
          <w:szCs w:val="32"/>
          <w:lang w:eastAsia="zh-CN"/>
        </w:rPr>
      </w:pPr>
      <w:r>
        <w:rPr>
          <w:rFonts w:hint="eastAsia" w:ascii="Times New Roman" w:hAnsi="Times New Roman" w:eastAsia="楷体_GB2312"/>
          <w:b w:val="0"/>
          <w:bCs/>
          <w:kern w:val="0"/>
          <w:sz w:val="32"/>
          <w:szCs w:val="32"/>
          <w:lang w:eastAsia="zh-CN"/>
        </w:rPr>
        <w:t>（一）</w:t>
      </w:r>
      <w:r>
        <w:rPr>
          <w:rFonts w:hint="eastAsia" w:ascii="Times New Roman" w:hAnsi="Times New Roman" w:eastAsia="仿宋_GB2312"/>
          <w:b w:val="0"/>
          <w:bCs/>
          <w:kern w:val="0"/>
          <w:sz w:val="32"/>
          <w:szCs w:val="32"/>
          <w:lang w:eastAsia="zh-CN"/>
        </w:rPr>
        <w:t>基本支出情况</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2022年初预算批复的基本支出为</w:t>
      </w:r>
      <w:r>
        <w:rPr>
          <w:rFonts w:hint="eastAsia" w:ascii="Times New Roman" w:hAnsi="Times New Roman" w:eastAsia="仿宋_GB2312"/>
          <w:kern w:val="0"/>
          <w:sz w:val="32"/>
          <w:szCs w:val="32"/>
          <w:lang w:val="en-US" w:eastAsia="zh-CN"/>
        </w:rPr>
        <w:t>1749.59</w:t>
      </w:r>
      <w:r>
        <w:rPr>
          <w:rFonts w:hint="eastAsia" w:ascii="Times New Roman" w:hAnsi="Times New Roman" w:eastAsia="仿宋_GB2312"/>
          <w:kern w:val="0"/>
          <w:sz w:val="32"/>
          <w:szCs w:val="32"/>
          <w:lang w:eastAsia="zh-CN"/>
        </w:rPr>
        <w:t>万元。2022年决算基本支出</w:t>
      </w:r>
      <w:r>
        <w:rPr>
          <w:rFonts w:hint="eastAsia" w:ascii="Times New Roman" w:hAnsi="Times New Roman" w:eastAsia="仿宋_GB2312"/>
          <w:kern w:val="0"/>
          <w:sz w:val="32"/>
          <w:szCs w:val="32"/>
          <w:lang w:val="en-US" w:eastAsia="zh-CN"/>
        </w:rPr>
        <w:t>2134.95</w:t>
      </w:r>
      <w:r>
        <w:rPr>
          <w:rFonts w:hint="eastAsia" w:ascii="Times New Roman" w:hAnsi="Times New Roman" w:eastAsia="仿宋_GB2312"/>
          <w:kern w:val="0"/>
          <w:sz w:val="32"/>
          <w:szCs w:val="32"/>
          <w:lang w:eastAsia="zh-CN"/>
        </w:rPr>
        <w:t>万元，其中人员支出</w:t>
      </w:r>
      <w:r>
        <w:rPr>
          <w:rFonts w:hint="eastAsia" w:ascii="Times New Roman" w:hAnsi="Times New Roman" w:eastAsia="仿宋_GB2312"/>
          <w:kern w:val="0"/>
          <w:sz w:val="32"/>
          <w:szCs w:val="32"/>
          <w:lang w:val="en-US" w:eastAsia="zh-CN"/>
        </w:rPr>
        <w:t>1664.16</w:t>
      </w:r>
      <w:r>
        <w:rPr>
          <w:rFonts w:hint="eastAsia" w:ascii="Times New Roman" w:hAnsi="Times New Roman" w:eastAsia="仿宋_GB2312"/>
          <w:kern w:val="0"/>
          <w:sz w:val="32"/>
          <w:szCs w:val="32"/>
          <w:lang w:eastAsia="zh-CN"/>
        </w:rPr>
        <w:t>万元，公用支出</w:t>
      </w:r>
      <w:r>
        <w:rPr>
          <w:rFonts w:hint="eastAsia" w:ascii="Times New Roman" w:hAnsi="Times New Roman" w:eastAsia="仿宋_GB2312"/>
          <w:kern w:val="0"/>
          <w:sz w:val="32"/>
          <w:szCs w:val="32"/>
          <w:lang w:val="en-US" w:eastAsia="zh-CN"/>
        </w:rPr>
        <w:t>431.79</w:t>
      </w:r>
      <w:r>
        <w:rPr>
          <w:rFonts w:hint="eastAsia" w:ascii="Times New Roman" w:hAnsi="Times New Roman" w:eastAsia="仿宋_GB2312"/>
          <w:kern w:val="0"/>
          <w:sz w:val="32"/>
          <w:szCs w:val="32"/>
          <w:lang w:eastAsia="zh-CN"/>
        </w:rPr>
        <w:t>万元，其中公务接待费</w:t>
      </w:r>
      <w:r>
        <w:rPr>
          <w:rFonts w:hint="eastAsia" w:ascii="Times New Roman" w:hAnsi="Times New Roman" w:eastAsia="仿宋_GB2312"/>
          <w:kern w:val="0"/>
          <w:sz w:val="32"/>
          <w:szCs w:val="32"/>
          <w:lang w:val="en-US" w:eastAsia="zh-CN"/>
        </w:rPr>
        <w:t>10.3</w:t>
      </w:r>
      <w:r>
        <w:rPr>
          <w:rFonts w:hint="eastAsia" w:ascii="Times New Roman" w:hAnsi="Times New Roman" w:eastAsia="仿宋_GB2312"/>
          <w:kern w:val="0"/>
          <w:sz w:val="32"/>
          <w:szCs w:val="32"/>
          <w:lang w:eastAsia="zh-CN"/>
        </w:rPr>
        <w:t>万元。</w:t>
      </w:r>
    </w:p>
    <w:p>
      <w:pPr>
        <w:pStyle w:val="9"/>
        <w:numPr>
          <w:ilvl w:val="0"/>
          <w:numId w:val="0"/>
        </w:numPr>
        <w:spacing w:line="600" w:lineRule="exact"/>
        <w:ind w:firstLine="320" w:firstLineChars="100"/>
        <w:jc w:val="both"/>
        <w:rPr>
          <w:rFonts w:hint="eastAsia" w:ascii="Times New Roman" w:hAnsi="Times New Roman" w:eastAsia="仿宋_GB2312"/>
          <w:kern w:val="0"/>
          <w:sz w:val="32"/>
          <w:szCs w:val="32"/>
          <w:lang w:eastAsia="zh-CN"/>
        </w:rPr>
      </w:pPr>
      <w:r>
        <w:rPr>
          <w:rFonts w:hint="eastAsia" w:ascii="Times New Roman" w:hAnsi="Times New Roman" w:eastAsia="仿宋_GB2312"/>
          <w:kern w:val="0"/>
          <w:sz w:val="32"/>
          <w:szCs w:val="32"/>
          <w:lang w:eastAsia="zh-CN"/>
        </w:rPr>
        <w:t>（二）项目支出情况</w:t>
      </w:r>
    </w:p>
    <w:p>
      <w:pPr>
        <w:pStyle w:val="9"/>
        <w:numPr>
          <w:ilvl w:val="0"/>
          <w:numId w:val="0"/>
        </w:numPr>
        <w:spacing w:line="600" w:lineRule="exact"/>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        1、专项资金安排落实、总投入等情况分析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2022年初预算批复的项目支出为126万元，全年财政拨款专项收入为4828.75万元。</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2、专项资金实际使用情况分析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2022年决算项目支出4828.75万元，全部为专项商品服务支出。</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3、专项资金管理情况分析</w:t>
      </w:r>
    </w:p>
    <w:p>
      <w:pPr>
        <w:pStyle w:val="9"/>
        <w:numPr>
          <w:ilvl w:val="0"/>
          <w:numId w:val="0"/>
        </w:numPr>
        <w:spacing w:line="600" w:lineRule="exact"/>
        <w:ind w:firstLine="640" w:firstLineChars="200"/>
        <w:jc w:val="both"/>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（1）、所有林业专项资金实行专款专用，专项管理。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（2）、资金的拨付，严格执行项目资金使用计划，无擅自调项、扩项、缩项，更无拆借、挪用、挤占和随意扣压。</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（3）、严格专项资金初审、审核、审批制度，无缺项和越程序办理手续，各类专项资金审批程序，以该专项资金审批表所列资料和文件要求为准。</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（4）、专项资金报账拨付均附真实、有效、合法的凭证。</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 xml:space="preserve">（5）、加强审计监督，实行单项工程决算审计，整体项目验收审计，年度资金收支审计。           </w:t>
      </w:r>
    </w:p>
    <w:p>
      <w:pPr>
        <w:pStyle w:val="9"/>
        <w:numPr>
          <w:ilvl w:val="0"/>
          <w:numId w:val="0"/>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本单位无政府性基金预算。</w:t>
      </w:r>
    </w:p>
    <w:p>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pPr>
        <w:numPr>
          <w:ilvl w:val="0"/>
          <w:numId w:val="0"/>
        </w:numPr>
        <w:spacing w:line="600" w:lineRule="exact"/>
        <w:ind w:firstLine="640" w:firstLineChars="200"/>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本单位无国有资本经营预算。</w:t>
      </w:r>
    </w:p>
    <w:p>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pPr>
        <w:numPr>
          <w:ilvl w:val="0"/>
          <w:numId w:val="0"/>
        </w:numPr>
        <w:spacing w:line="600" w:lineRule="exact"/>
        <w:ind w:left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本单位无社会保险基金预算。</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72" w:firstLineChars="200"/>
        <w:textAlignment w:val="baseline"/>
        <w:rPr>
          <w:sz w:val="32"/>
          <w:szCs w:val="32"/>
        </w:rPr>
      </w:pPr>
      <w:r>
        <w:rPr>
          <w:rFonts w:hint="eastAsia"/>
          <w:spacing w:val="-17"/>
          <w:sz w:val="32"/>
          <w:szCs w:val="32"/>
          <w:lang w:eastAsia="zh-CN"/>
        </w:rPr>
        <w:t>林业部门</w:t>
      </w:r>
      <w:r>
        <w:rPr>
          <w:spacing w:val="-17"/>
          <w:sz w:val="32"/>
          <w:szCs w:val="32"/>
        </w:rPr>
        <w:t>“四本预算”支出的绩效目标</w:t>
      </w:r>
      <w:r>
        <w:rPr>
          <w:rFonts w:hint="eastAsia"/>
          <w:spacing w:val="-17"/>
          <w:sz w:val="32"/>
          <w:szCs w:val="32"/>
          <w:lang w:eastAsia="zh-CN"/>
        </w:rPr>
        <w:t>全部</w:t>
      </w:r>
      <w:r>
        <w:rPr>
          <w:spacing w:val="-17"/>
          <w:sz w:val="32"/>
          <w:szCs w:val="32"/>
        </w:rPr>
        <w:t>完成，</w:t>
      </w:r>
      <w:r>
        <w:rPr>
          <w:rFonts w:hint="eastAsia"/>
          <w:spacing w:val="-17"/>
          <w:sz w:val="32"/>
          <w:szCs w:val="32"/>
          <w:lang w:eastAsia="zh-CN"/>
        </w:rPr>
        <w:t>经济效益、社会效益、生态效益均达到预期目标</w:t>
      </w:r>
      <w:r>
        <w:rPr>
          <w:spacing w:val="-4"/>
          <w:sz w:val="32"/>
          <w:szCs w:val="32"/>
        </w:rPr>
        <w:t>。</w:t>
      </w:r>
    </w:p>
    <w:p>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自然保护地整合优化经费问题。为了切实落实好自然保护地整合优化工作，我局邀请有关专家和技术人员对全市自然保护地整合优化进行实地调研，制定了整合优化方案，省林业局已组织专家评审，结果将于近期公布。根据自然保护地整合优化的相关要求，全市自然保护地整合优化工作经费存在缺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野生动物繁育主体退出补偿和转型问题。野生动物繁育主体退出补偿工作已基本完成，由于野生动物养殖户投入较大、补偿有限，思想情绪还不稳定，正确引导养殖主体产业转型、维持社会稳定是当务之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大面造林及油茶发展补助资金问题。今年上级下达我市的大面造林任务11800亩、封山育林20000亩，油茶新造10000亩、幼林抚育10000亩、低改3000亩，绿色通道里程150公里已全部完成任务。按照市人民政府相关文件精神，预计需要补助810万元，资金缺口较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方正黑体_GBK" w:eastAsia="方正黑体_GBK"/>
          <w:kern w:val="0"/>
          <w:sz w:val="32"/>
          <w:szCs w:val="32"/>
          <w:lang w:eastAsia="zh-CN"/>
        </w:rPr>
      </w:pPr>
      <w:r>
        <w:rPr>
          <w:rFonts w:hint="eastAsia" w:eastAsia="仿宋_GB2312"/>
          <w:kern w:val="0"/>
          <w:sz w:val="32"/>
          <w:szCs w:val="32"/>
          <w:lang w:eastAsia="zh-CN"/>
        </w:rPr>
        <w:t>（四）森林城市创建工作问题。我市创建省级森林城市已于2018年获省政府批准。2020年初，岳阳市人民政府申请创建国家森林城市，明确要求我市务必加快省级森林城市创建工作步伐，提高创建工作质量。</w:t>
      </w:r>
    </w:p>
    <w:p>
      <w:pPr>
        <w:numPr>
          <w:ilvl w:val="0"/>
          <w:numId w:val="3"/>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下一步改进措施</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Times New Roman" w:hAnsi="Times New Roman" w:eastAsia="仿宋_GB2312"/>
          <w:kern w:val="0"/>
          <w:sz w:val="32"/>
          <w:szCs w:val="32"/>
          <w:lang w:val="en-US" w:eastAsia="zh-CN"/>
        </w:rPr>
        <w:t>一</w:t>
      </w:r>
      <w:r>
        <w:rPr>
          <w:rFonts w:hint="eastAsia" w:ascii="方正黑体_GBK" w:eastAsia="方正黑体_GBK"/>
          <w:kern w:val="0"/>
          <w:sz w:val="32"/>
          <w:szCs w:val="32"/>
          <w:lang w:val="en-US" w:eastAsia="zh-CN"/>
        </w:rPr>
        <w:t>）</w:t>
      </w:r>
      <w:r>
        <w:rPr>
          <w:rFonts w:hint="eastAsia" w:ascii="Times New Roman" w:hAnsi="Times New Roman" w:eastAsia="仿宋_GB2312"/>
          <w:kern w:val="0"/>
          <w:sz w:val="32"/>
          <w:szCs w:val="32"/>
          <w:lang w:val="en-US" w:eastAsia="zh-CN"/>
        </w:rPr>
        <w:t>、加强巡视（审计）整改。根据省林业厅组织的省级森林督查检查情况来看，我市共有1100多个违法违规图斑，问题突出，形势严峻。我局已多次召开专题会议，组织精干技术力量，对照斑块，深入现场，核实用地情况、查清违法建设内容和用地类型，统一编号，逐块整改，确保全面完成违法违规斑块的整改任务。</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二）、大力发展油茶产业。市人民政府已经印发汨罗市油茶产业发展实施意见的文件，到2022年，全市发展油茶达到10万亩，其中发展2个10000亩以上油茶种植乡镇，10个以上的1000亩油茶种植合作社（大户）。我局将充分结合乡村振兴战略、精准扶贫、国土整理等工作，会同农业、国土、扶贫、科技等部门，建立油茶种植示范基地，带动当地油茶种植，引导帮助农民致富。</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三）、稳步推进城乡绿化。我们将在今年工作的基础上，组织专业技术人员对全市大面造林的植树成活率和后期管护情况进行督查，督促各乡镇、市直单位在的义务植树、联村见绿基地建设。继续巩固好G107、G240、G536、十古线等造林绿化成果，完成150公里绿色通道建设任务。继续落实好白水镇、弼时镇、新市镇、长乐镇、桃林寺镇等5个岳阳森林小镇和武夷山村、瞭家山村、汨水村、南环村、双楚村、窑州社区等6个岳阳近郊绿色村庄创建工作。</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四）、切实抓好湿地修复。汨罗江国家湿地公园是我市的一块“国”字招牌，如何保护好、管理好、建设好湿地公园是我们共同面临的艰巨任务。湿地覆盖范围面积大、管理人员少且执法职能薄弱，破坏湿地现象偶有发生。我们将继续争取上级项目和资金支持，完善湿地巡护监测设施，加强日常巡护保洁，加强生态修复植绿，联合环保、水务、砂石、畜牧、国土等部门和属地乡镇，加大对破坏湿地行为的打击力度，形成统筹协调、分工负责、齐抓共管的工作机制。</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五）、严格管理森林资源。森林防火：明确防火责任，各防火责任区域党政一把手为第一责任人；加大防火宣传，充分利用现代化的网络媒体加大防火知识宣传；严控野外火源，加强与禁炮办的工作对接，在重要节日、重要林区、重要路段安排专人值守，做到烟花鞭炮不进山;强化扑救措施，完善扑救预案，举办一到两次森林防火知识培训班，加大对乡镇、村组扑火队员的技能培训。严厉打击失火、纵火等犯罪行为；森林病虫害防治，尤其是当前的松毛虫、松材线虫病防控，在组织管理、技术培训、除治监督上再加强，积极为当地政府当好参谋，切实做好疫情监测、信息报送、灾情核查、检疫执法、技术指导和服务。</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六）、深入落实生态建设。省级森林城市。省级森林城市创建是生态汨罗建设的需要，已经列入我市三城同创的工作范畴，已经获得省林业厅批准。我们将严格按照省级森林城市的创建标准和要求，扎扎实实的开展创建工作，力争在规定时间内通过上级检查验收。省级森林公园。八景洞省级森林公园创建是市委、市政府的工作要求，我们将认真总结神鼎山省级森林公园创建的成功经验，尽快完善好相关资料，更好的管理与保护好森林公园资源。</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七）、全面强化安全生产。“安全责任重于泰山”、“管行业必须管安全”。我市有96万亩森林资源、3大国有林场苗圃、100多家木竹加工企业，林业安全生产任务相当艰巨。我们将积极开展改革发展、监管执法、事故预防和安全法规知识等内容的系列宣传教育，召开安全生产动员部署会议，开展安全生产隐患大排查和安全生产大检查，及时查找隐患、梳理问题、制定整改措施，杜绝林业安全生产事故的发生。</w:t>
      </w:r>
    </w:p>
    <w:p>
      <w:pPr>
        <w:pStyle w:val="9"/>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kern w:val="0"/>
          <w:sz w:val="32"/>
          <w:szCs w:val="32"/>
          <w:lang w:val="en-US" w:eastAsia="zh-CN"/>
        </w:rPr>
      </w:pPr>
      <w:r>
        <w:rPr>
          <w:rFonts w:hint="eastAsia" w:ascii="Times New Roman" w:hAnsi="Times New Roman" w:eastAsia="仿宋_GB2312"/>
          <w:kern w:val="0"/>
          <w:sz w:val="32"/>
          <w:szCs w:val="32"/>
          <w:lang w:val="en-US" w:eastAsia="zh-CN"/>
        </w:rPr>
        <w:t>当前，林业工作中还面临着不少困难和问题。乱砍滥伐、乱征滥占、未批先用、少批多占等违法行为屡禁不止，特别是违法使用林地问题相当突出，批少伐多、伐后不造林现象严重；湿地保护执法职能薄弱、人为破坏仍然存在；森林火灾、病虫害等偶有发生；乡镇林业站人员编制、站房建设、业务水平等很难适应新形势下林业工作的需要。</w:t>
      </w:r>
    </w:p>
    <w:p>
      <w:pPr>
        <w:numPr>
          <w:ilvl w:val="0"/>
          <w:numId w:val="3"/>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部门整体支出绩效自评结果拟应用和公开情况</w:t>
      </w:r>
    </w:p>
    <w:p>
      <w:pPr>
        <w:numPr>
          <w:ilvl w:val="0"/>
          <w:numId w:val="0"/>
        </w:numPr>
        <w:spacing w:line="600" w:lineRule="exact"/>
        <w:ind w:leftChars="200"/>
        <w:jc w:val="both"/>
        <w:rPr>
          <w:rFonts w:hint="default" w:ascii="方正黑体_GBK" w:eastAsia="方正黑体_GBK"/>
          <w:kern w:val="0"/>
          <w:sz w:val="32"/>
          <w:szCs w:val="32"/>
          <w:lang w:val="en-US" w:eastAsia="zh-CN"/>
        </w:rPr>
      </w:pPr>
      <w:r>
        <w:rPr>
          <w:rFonts w:hint="eastAsia" w:ascii="方正黑体_GBK" w:eastAsia="方正黑体_GBK"/>
          <w:kern w:val="0"/>
          <w:sz w:val="32"/>
          <w:szCs w:val="32"/>
          <w:lang w:val="en-US" w:eastAsia="zh-CN"/>
        </w:rPr>
        <w:t xml:space="preserve"> </w:t>
      </w:r>
      <w:r>
        <w:rPr>
          <w:rFonts w:hint="eastAsia" w:ascii="仿宋" w:hAnsi="仿宋" w:eastAsia="仿宋" w:cs="仿宋"/>
          <w:color w:val="auto"/>
          <w:sz w:val="32"/>
          <w:szCs w:val="32"/>
          <w:lang w:val="en-US" w:eastAsia="zh-CN"/>
        </w:rPr>
        <w:t>需要再政府门户网上公开的项目，均按照要求进行了公开。</w:t>
      </w:r>
    </w:p>
    <w:p>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十、其他需要说明的情况</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各级巡视、审计和财会监督中均未发现问题。</w:t>
      </w:r>
    </w:p>
    <w:p>
      <w:pPr>
        <w:spacing w:line="600" w:lineRule="exact"/>
        <w:ind w:firstLine="640" w:firstLineChars="200"/>
        <w:jc w:val="both"/>
        <w:rPr>
          <w:rFonts w:eastAsia="仿宋_GB2312"/>
          <w:kern w:val="0"/>
          <w:sz w:val="32"/>
          <w:szCs w:val="32"/>
          <w:lang w:eastAsia="zh-CN"/>
        </w:rPr>
      </w:pPr>
    </w:p>
    <w:p>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pPr>
        <w:spacing w:line="600" w:lineRule="exact"/>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pPr>
        <w:spacing w:line="600" w:lineRule="exact"/>
        <w:ind w:firstLine="640" w:firstLineChars="200"/>
        <w:jc w:val="both"/>
        <w:rPr>
          <w:rFonts w:hint="eastAsia" w:eastAsia="仿宋_GB2312"/>
          <w:kern w:val="0"/>
          <w:sz w:val="32"/>
          <w:szCs w:val="32"/>
          <w:lang w:eastAsia="zh-CN"/>
        </w:rPr>
      </w:pPr>
      <w:r>
        <w:rPr>
          <w:rFonts w:eastAsia="仿宋_GB2312"/>
          <w:kern w:val="0"/>
          <w:sz w:val="32"/>
          <w:szCs w:val="32"/>
          <w:lang w:eastAsia="zh-CN"/>
        </w:rPr>
        <w:t>6</w:t>
      </w:r>
      <w:r>
        <w:rPr>
          <w:rFonts w:hint="eastAsia" w:eastAsia="仿宋_GB2312"/>
          <w:kern w:val="0"/>
          <w:sz w:val="32"/>
          <w:szCs w:val="32"/>
          <w:lang w:eastAsia="zh-CN"/>
        </w:rPr>
        <w:t>、社会保险基金预算支出情况表</w:t>
      </w: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600" w:lineRule="exact"/>
        <w:ind w:firstLine="640" w:firstLineChars="200"/>
        <w:jc w:val="both"/>
        <w:rPr>
          <w:rFonts w:hint="eastAsia" w:eastAsia="仿宋_GB2312"/>
          <w:kern w:val="0"/>
          <w:sz w:val="32"/>
          <w:szCs w:val="32"/>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hint="eastAsia" w:ascii="宋体" w:hAnsi="宋体" w:eastAsia="宋体" w:cs="宋体"/>
          <w:bCs/>
          <w:spacing w:val="-4"/>
          <w:kern w:val="0"/>
          <w:sz w:val="28"/>
          <w:szCs w:val="28"/>
          <w:lang w:eastAsia="zh-CN"/>
        </w:rPr>
      </w:pPr>
    </w:p>
    <w:p>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pPr>
        <w:spacing w:before="201" w:line="578" w:lineRule="exact"/>
        <w:ind w:left="2169"/>
        <w:rPr>
          <w:rFonts w:ascii="黑体" w:hAnsi="黑体" w:eastAsia="黑体" w:cs="黑体"/>
          <w:sz w:val="42"/>
          <w:szCs w:val="42"/>
        </w:rPr>
      </w:pPr>
      <w:r>
        <w:rPr>
          <w:rFonts w:ascii="Times New Roman" w:hAnsi="Times New Roman" w:eastAsia="Times New Roman" w:cs="Times New Roman"/>
          <w:spacing w:val="15"/>
          <w:position w:val="10"/>
          <w:sz w:val="42"/>
          <w:szCs w:val="42"/>
        </w:rPr>
        <w:t>202</w:t>
      </w:r>
      <w:r>
        <w:rPr>
          <w:rFonts w:hint="eastAsia" w:ascii="Times New Roman" w:hAnsi="Times New Roman" w:eastAsia="宋体" w:cs="Times New Roman"/>
          <w:spacing w:val="15"/>
          <w:position w:val="10"/>
          <w:sz w:val="42"/>
          <w:szCs w:val="42"/>
          <w:lang w:val="en-US" w:eastAsia="zh-CN"/>
        </w:rPr>
        <w:t>2</w:t>
      </w:r>
      <w:r>
        <w:rPr>
          <w:rFonts w:ascii="Times New Roman" w:hAnsi="Times New Roman" w:eastAsia="Times New Roman" w:cs="Times New Roman"/>
          <w:spacing w:val="41"/>
          <w:position w:val="10"/>
          <w:sz w:val="42"/>
          <w:szCs w:val="42"/>
        </w:rPr>
        <w:t xml:space="preserve"> </w:t>
      </w:r>
      <w:r>
        <w:rPr>
          <w:rFonts w:ascii="黑体" w:hAnsi="黑体" w:eastAsia="黑体" w:cs="黑体"/>
          <w:spacing w:val="15"/>
          <w:position w:val="10"/>
          <w:sz w:val="42"/>
          <w:szCs w:val="42"/>
        </w:rPr>
        <w:t>年度</w:t>
      </w:r>
      <w:r>
        <w:rPr>
          <w:rFonts w:ascii="Times New Roman" w:hAnsi="Times New Roman" w:eastAsia="Times New Roman" w:cs="Times New Roman"/>
          <w:position w:val="10"/>
          <w:sz w:val="42"/>
          <w:szCs w:val="42"/>
        </w:rPr>
        <w:t>XX</w:t>
      </w:r>
      <w:r>
        <w:rPr>
          <w:rFonts w:ascii="Times New Roman" w:hAnsi="Times New Roman" w:eastAsia="Times New Roman" w:cs="Times New Roman"/>
          <w:spacing w:val="42"/>
          <w:position w:val="10"/>
          <w:sz w:val="42"/>
          <w:szCs w:val="42"/>
        </w:rPr>
        <w:t xml:space="preserve"> </w:t>
      </w:r>
      <w:r>
        <w:rPr>
          <w:rFonts w:ascii="黑体" w:hAnsi="黑体" w:eastAsia="黑体" w:cs="黑体"/>
          <w:spacing w:val="15"/>
          <w:position w:val="10"/>
          <w:sz w:val="42"/>
          <w:szCs w:val="42"/>
        </w:rPr>
        <w:t>项目支出</w:t>
      </w:r>
    </w:p>
    <w:p>
      <w:pPr>
        <w:spacing w:before="1" w:line="220" w:lineRule="auto"/>
        <w:ind w:left="3069"/>
        <w:rPr>
          <w:rFonts w:ascii="黑体" w:hAnsi="黑体" w:eastAsia="黑体" w:cs="黑体"/>
          <w:sz w:val="42"/>
          <w:szCs w:val="42"/>
        </w:rPr>
      </w:pPr>
      <w:r>
        <w:rPr>
          <w:rFonts w:ascii="黑体" w:hAnsi="黑体" w:eastAsia="黑体" w:cs="黑体"/>
          <w:spacing w:val="10"/>
          <w:sz w:val="42"/>
          <w:szCs w:val="42"/>
        </w:rPr>
        <w:t>绩效自评报告</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2"/>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spacing w:val="68"/>
          <w:sz w:val="27"/>
          <w:szCs w:val="27"/>
          <w:u w:val="single" w:color="auto"/>
        </w:rPr>
        <w:t xml:space="preserve"> </w:t>
      </w:r>
      <w:r>
        <w:rPr>
          <w:spacing w:val="-22"/>
          <w:sz w:val="27"/>
          <w:szCs w:val="27"/>
          <w:u w:val="single" w:color="auto"/>
        </w:rPr>
        <w:t>盖</w:t>
      </w:r>
      <w:r>
        <w:rPr>
          <w:spacing w:val="64"/>
          <w:sz w:val="27"/>
          <w:szCs w:val="27"/>
          <w:u w:val="single" w:color="auto"/>
        </w:rPr>
        <w:t xml:space="preserve"> </w:t>
      </w:r>
      <w:r>
        <w:rPr>
          <w:spacing w:val="-22"/>
          <w:sz w:val="27"/>
          <w:szCs w:val="27"/>
          <w:u w:val="single" w:color="auto"/>
        </w:rPr>
        <w:t>章</w:t>
      </w:r>
      <w:r>
        <w:rPr>
          <w:spacing w:val="55"/>
          <w:sz w:val="27"/>
          <w:szCs w:val="27"/>
          <w:u w:val="single" w:color="auto"/>
        </w:rPr>
        <w:t xml:space="preserve"> </w:t>
      </w:r>
      <w:r>
        <w:rPr>
          <w:spacing w:val="-22"/>
          <w:sz w:val="27"/>
          <w:szCs w:val="27"/>
          <w:u w:val="single" w:color="auto"/>
        </w:rPr>
        <w:t>)</w:t>
      </w:r>
      <w:r>
        <w:rPr>
          <w:sz w:val="27"/>
          <w:szCs w:val="27"/>
          <w:u w:val="single" w:color="auto"/>
        </w:rPr>
        <w:t xml:space="preserve">     </w:t>
      </w:r>
    </w:p>
    <w:p>
      <w:pPr>
        <w:pStyle w:val="2"/>
        <w:spacing w:before="289" w:line="610" w:lineRule="exact"/>
        <w:ind w:left="3490"/>
        <w:rPr>
          <w:sz w:val="27"/>
          <w:szCs w:val="27"/>
        </w:rPr>
      </w:pPr>
      <w:r>
        <w:rPr>
          <w:spacing w:val="-13"/>
          <w:position w:val="26"/>
          <w:sz w:val="27"/>
          <w:szCs w:val="27"/>
        </w:rPr>
        <w:t>年   月</w:t>
      </w:r>
      <w:r>
        <w:rPr>
          <w:spacing w:val="12"/>
          <w:position w:val="26"/>
          <w:sz w:val="27"/>
          <w:szCs w:val="27"/>
        </w:rPr>
        <w:t xml:space="preserve">   </w:t>
      </w:r>
      <w:r>
        <w:rPr>
          <w:spacing w:val="-13"/>
          <w:position w:val="26"/>
          <w:sz w:val="27"/>
          <w:szCs w:val="27"/>
        </w:rPr>
        <w:t>日</w:t>
      </w:r>
    </w:p>
    <w:p>
      <w:pPr>
        <w:pStyle w:val="2"/>
        <w:spacing w:before="1" w:line="223" w:lineRule="auto"/>
        <w:ind w:left="3560"/>
        <w:rPr>
          <w:sz w:val="24"/>
          <w:szCs w:val="24"/>
        </w:rPr>
      </w:pPr>
      <w:r>
        <w:rPr>
          <w:spacing w:val="7"/>
          <w:sz w:val="24"/>
          <w:szCs w:val="24"/>
        </w:rPr>
        <w:t>(此面为封面)</w:t>
      </w:r>
    </w:p>
    <w:p>
      <w:pPr>
        <w:spacing w:line="223" w:lineRule="auto"/>
        <w:rPr>
          <w:sz w:val="24"/>
          <w:szCs w:val="24"/>
        </w:rPr>
        <w:sectPr>
          <w:footerReference r:id="rId8" w:type="default"/>
          <w:pgSz w:w="11900" w:h="16820"/>
          <w:pgMar w:top="1429" w:right="1782" w:bottom="1158" w:left="1450" w:header="0" w:footer="850" w:gutter="0"/>
          <w:cols w:space="720" w:num="1"/>
        </w:sectPr>
      </w:pPr>
    </w:p>
    <w:p>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pPr>
        <w:spacing w:before="190" w:line="227" w:lineRule="auto"/>
        <w:ind w:left="3670"/>
        <w:rPr>
          <w:rFonts w:ascii="楷体" w:hAnsi="楷体" w:eastAsia="楷体" w:cs="楷体"/>
          <w:sz w:val="31"/>
          <w:szCs w:val="31"/>
        </w:rPr>
      </w:pPr>
      <w:r>
        <w:rPr>
          <w:rFonts w:ascii="楷体" w:hAnsi="楷体" w:eastAsia="楷体" w:cs="楷体"/>
          <w:spacing w:val="25"/>
          <w:sz w:val="31"/>
          <w:szCs w:val="31"/>
        </w:rPr>
        <w:t>(参考提纲)</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eastAsia="zh-CN"/>
        </w:rPr>
      </w:pPr>
      <w:r>
        <w:rPr>
          <w:rFonts w:ascii="黑体" w:hAnsi="黑体" w:eastAsia="黑体" w:cs="黑体"/>
          <w:b/>
          <w:bCs/>
          <w:snapToGrid w:val="0"/>
          <w:color w:val="000000"/>
          <w:spacing w:val="-15"/>
          <w:kern w:val="0"/>
          <w:sz w:val="31"/>
          <w:szCs w:val="31"/>
          <w:lang w:val="en-US" w:eastAsia="en-US" w:bidi="ar-SA"/>
        </w:rPr>
        <w:t>(一)项目支出概况。</w:t>
      </w:r>
      <w:r>
        <w:rPr>
          <w:rFonts w:hint="eastAsia" w:eastAsia="仿宋_GB2312"/>
          <w:kern w:val="0"/>
          <w:sz w:val="32"/>
          <w:szCs w:val="32"/>
          <w:lang w:eastAsia="zh-CN"/>
        </w:rPr>
        <w:t>主要包括项目支出决策背景及其主要内容。</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eastAsia="仿宋_GB2312"/>
          <w:kern w:val="0"/>
          <w:sz w:val="32"/>
          <w:szCs w:val="32"/>
          <w:lang w:val="en-US" w:eastAsia="en-US"/>
        </w:rPr>
      </w:pPr>
      <w:r>
        <w:rPr>
          <w:rFonts w:ascii="黑体" w:hAnsi="黑体" w:eastAsia="黑体" w:cs="黑体"/>
          <w:b/>
          <w:bCs/>
          <w:spacing w:val="-15"/>
          <w:sz w:val="31"/>
          <w:szCs w:val="31"/>
        </w:rPr>
        <w:t>(二)项目资金使用管理情况。</w:t>
      </w:r>
      <w:r>
        <w:rPr>
          <w:rFonts w:hint="eastAsia" w:eastAsia="仿宋_GB2312"/>
          <w:kern w:val="0"/>
          <w:sz w:val="32"/>
          <w:szCs w:val="32"/>
          <w:lang w:val="en-US" w:eastAsia="en-US"/>
        </w:rPr>
        <w:t>主要包括：项目支出组织管 理机构；项目资金和项目管理制度建设，项目资金投向结构合理 性，资金拨付及时性等，项目立项、申报、评审、监督管理、验收等阶段组织实施的合规性等。</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jc w:val="both"/>
        <w:textAlignment w:val="baseline"/>
        <w:rPr>
          <w:rFonts w:hint="eastAsia" w:ascii="Arial" w:hAnsi="Arial" w:eastAsia="仿宋_GB2312" w:cs="Arial"/>
          <w:snapToGrid w:val="0"/>
          <w:color w:val="000000"/>
          <w:kern w:val="0"/>
          <w:sz w:val="32"/>
          <w:szCs w:val="32"/>
          <w:lang w:val="en-US" w:eastAsia="zh-CN" w:bidi="ar-SA"/>
        </w:rPr>
      </w:pPr>
      <w:r>
        <w:rPr>
          <w:rFonts w:ascii="黑体" w:hAnsi="黑体" w:eastAsia="黑体" w:cs="黑体"/>
          <w:b/>
          <w:bCs/>
          <w:snapToGrid w:val="0"/>
          <w:color w:val="000000"/>
          <w:spacing w:val="-15"/>
          <w:kern w:val="0"/>
          <w:sz w:val="31"/>
          <w:szCs w:val="31"/>
          <w:lang w:val="en-US" w:eastAsia="en-US" w:bidi="ar-SA"/>
        </w:rPr>
        <w:t>(三)项目支出绩效目标完成程度</w:t>
      </w:r>
      <w:r>
        <w:rPr>
          <w:rFonts w:ascii="楷体" w:hAnsi="楷体" w:eastAsia="楷体" w:cs="楷体"/>
          <w:b/>
          <w:bCs/>
          <w:spacing w:val="6"/>
          <w:position w:val="16"/>
          <w:sz w:val="31"/>
          <w:szCs w:val="31"/>
        </w:rPr>
        <w:t>。</w:t>
      </w:r>
      <w:r>
        <w:rPr>
          <w:rFonts w:hint="eastAsia" w:ascii="Arial" w:hAnsi="Arial" w:eastAsia="仿宋_GB2312" w:cs="Arial"/>
          <w:snapToGrid w:val="0"/>
          <w:color w:val="000000"/>
          <w:kern w:val="0"/>
          <w:sz w:val="32"/>
          <w:szCs w:val="32"/>
          <w:lang w:val="en-US" w:eastAsia="zh-CN" w:bidi="ar-SA"/>
        </w:rPr>
        <w:t>主要包括绩效总目标和</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阶段性目标，实现的产出情况和取得的效益情况。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二、绩效评价工作情况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(二)项目执行过程情况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(四)项目支出效益情况</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0"/>
        <w:jc w:val="both"/>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可从资金分配和安排，资金指标下达、资金拨付和资金使用 进度，资金使用管理，项目管理，政策适应性等方面概括存在的</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textAlignment w:val="baseline"/>
        <w:rPr>
          <w:rFonts w:hint="eastAsia" w:ascii="Arial" w:hAnsi="Arial" w:eastAsia="仿宋_GB2312" w:cs="Arial"/>
          <w:snapToGrid w:val="0"/>
          <w:color w:val="000000"/>
          <w:kern w:val="0"/>
          <w:sz w:val="32"/>
          <w:szCs w:val="32"/>
          <w:lang w:val="en-US" w:eastAsia="zh-CN" w:bidi="ar-SA"/>
        </w:rPr>
      </w:pPr>
      <w:r>
        <w:rPr>
          <w:rFonts w:hint="eastAsia" w:ascii="Arial" w:hAnsi="Arial" w:eastAsia="仿宋_GB2312" w:cs="Arial"/>
          <w:snapToGrid w:val="0"/>
          <w:color w:val="000000"/>
          <w:kern w:val="0"/>
          <w:sz w:val="32"/>
          <w:szCs w:val="32"/>
          <w:lang w:val="en-US" w:eastAsia="zh-CN" w:bidi="ar-SA"/>
        </w:rPr>
        <w:t>主要问题。</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六、有关建议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sectPr>
      <w:footerReference r:id="rId9"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sz w:val="28"/>
            <w:szCs w:val="28"/>
          </w:rPr>
        </w:pPr>
      </w:p>
    </w:sdtContent>
  </w:sdt>
  <w:p>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pPr>
          <w:pStyle w:val="3"/>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pPr>
      <w:pStyle w:val="3"/>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pPr>
          <w:pStyle w:val="3"/>
          <w:jc w:val="right"/>
          <w:rPr>
            <w:rFonts w:asciiTheme="minorEastAsia" w:hAnsiTheme="minorEastAsia" w:eastAsiaTheme="minorEastAsia"/>
            <w:kern w:val="0"/>
          </w:rPr>
        </w:pPr>
      </w:p>
    </w:sdtContent>
  </w:sdt>
  <w:p>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EA1704"/>
    <w:multiLevelType w:val="singleLevel"/>
    <w:tmpl w:val="D2EA1704"/>
    <w:lvl w:ilvl="0" w:tentative="0">
      <w:start w:val="1"/>
      <w:numFmt w:val="chineseCounting"/>
      <w:suff w:val="nothing"/>
      <w:lvlText w:val="%1、"/>
      <w:lvlJc w:val="left"/>
      <w:rPr>
        <w:rFonts w:hint="eastAsia"/>
      </w:rPr>
    </w:lvl>
  </w:abstractNum>
  <w:abstractNum w:abstractNumId="1">
    <w:nsid w:val="2141DDCF"/>
    <w:multiLevelType w:val="singleLevel"/>
    <w:tmpl w:val="2141DDCF"/>
    <w:lvl w:ilvl="0" w:tentative="0">
      <w:start w:val="4"/>
      <w:numFmt w:val="chineseCounting"/>
      <w:suff w:val="nothing"/>
      <w:lvlText w:val="%1、"/>
      <w:lvlJc w:val="left"/>
      <w:rPr>
        <w:rFonts w:hint="eastAsia"/>
      </w:rPr>
    </w:lvl>
  </w:abstractNum>
  <w:abstractNum w:abstractNumId="2">
    <w:nsid w:val="294B3ADC"/>
    <w:multiLevelType w:val="singleLevel"/>
    <w:tmpl w:val="294B3ADC"/>
    <w:lvl w:ilvl="0" w:tentative="0">
      <w:start w:val="8"/>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k5ODM0YmMxOWJiYWQyNDU4MGIzYWRmYTA0ZmI5NDcifQ=="/>
  </w:docVars>
  <w:rsids>
    <w:rsidRoot w:val="00000000"/>
    <w:rsid w:val="01AF3811"/>
    <w:rsid w:val="03795BF7"/>
    <w:rsid w:val="086E756B"/>
    <w:rsid w:val="0ACF37E5"/>
    <w:rsid w:val="0B400BC6"/>
    <w:rsid w:val="0E68228D"/>
    <w:rsid w:val="103664A8"/>
    <w:rsid w:val="15276E52"/>
    <w:rsid w:val="19D32FBC"/>
    <w:rsid w:val="1A4C773A"/>
    <w:rsid w:val="1E6A4395"/>
    <w:rsid w:val="216B6650"/>
    <w:rsid w:val="25557A3D"/>
    <w:rsid w:val="259950E2"/>
    <w:rsid w:val="25AE1305"/>
    <w:rsid w:val="26EA5ED7"/>
    <w:rsid w:val="27A93B82"/>
    <w:rsid w:val="2AE00186"/>
    <w:rsid w:val="308216BE"/>
    <w:rsid w:val="30D46686"/>
    <w:rsid w:val="33FB6741"/>
    <w:rsid w:val="34FE1149"/>
    <w:rsid w:val="35103FF3"/>
    <w:rsid w:val="3A550786"/>
    <w:rsid w:val="3B7A130F"/>
    <w:rsid w:val="3F8961F2"/>
    <w:rsid w:val="4AEF530D"/>
    <w:rsid w:val="4F8B6063"/>
    <w:rsid w:val="51F633C5"/>
    <w:rsid w:val="52DF6E7A"/>
    <w:rsid w:val="52FA3F96"/>
    <w:rsid w:val="55850F17"/>
    <w:rsid w:val="57AE6D93"/>
    <w:rsid w:val="5FB623A7"/>
    <w:rsid w:val="6405145C"/>
    <w:rsid w:val="6E3851B0"/>
    <w:rsid w:val="6E3B2C2C"/>
    <w:rsid w:val="7DE82CDE"/>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semiHidden/>
    <w:qFormat/>
    <w:uiPriority w:val="0"/>
    <w:rPr>
      <w:rFonts w:ascii="仿宋" w:hAnsi="仿宋" w:eastAsia="仿宋" w:cs="仿宋"/>
      <w:sz w:val="34"/>
      <w:szCs w:val="34"/>
      <w:lang w:val="en-US" w:eastAsia="en-US" w:bidi="ar-SA"/>
    </w:rPr>
  </w:style>
  <w:style w:type="paragraph" w:styleId="3">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Arial" w:hAnsi="Arial" w:eastAsia="Arial" w:cs="Arial"/>
      <w:sz w:val="21"/>
      <w:szCs w:val="21"/>
      <w:lang w:val="en-US" w:eastAsia="en-US" w:bidi="ar-SA"/>
    </w:rPr>
  </w:style>
  <w:style w:type="paragraph" w:styleId="9">
    <w:name w:val="List Paragraph"/>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Words>6511</Words>
  <Characters>6901</Characters>
  <TotalTime>0</TotalTime>
  <ScaleCrop>false</ScaleCrop>
  <LinksUpToDate>false</LinksUpToDate>
  <CharactersWithSpaces>7186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Administrator</cp:lastModifiedBy>
  <cp:lastPrinted>2024-05-21T14:05:00Z</cp:lastPrinted>
  <dcterms:modified xsi:type="dcterms:W3CDTF">2024-06-27T03:17:10Z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2052-12.1.0.16929</vt:lpwstr>
  </property>
  <property fmtid="{D5CDD505-2E9C-101B-9397-08002B2CF9AE}" pid="6" name="ICV">
    <vt:lpwstr>A1E9AC54BF58440288AD196632C2A254_12</vt:lpwstr>
  </property>
</Properties>
</file>