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2022年度部门整体支出绩效评价基础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rPr>
          <w:lang w:eastAsia="zh-CN"/>
        </w:rPr>
      </w:pPr>
    </w:p>
    <w:tbl>
      <w:tblPr>
        <w:tblStyle w:val="8"/>
        <w:tblW w:w="93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2"/>
        <w:gridCol w:w="1148"/>
        <w:gridCol w:w="950"/>
        <w:gridCol w:w="952"/>
        <w:gridCol w:w="1069"/>
        <w:gridCol w:w="1030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42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财政供养人员情况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人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编制数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年实际在职人数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54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经费控制情况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年预算数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</w:rPr>
              <w:t>三公</w:t>
            </w:r>
            <w:r>
              <w:rPr>
                <w:rFonts w:ascii="仿宋_GB2312" w:hAnsi="宋体" w:eastAsia="仿宋_GB2312" w:cs="宋体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</w:rPr>
              <w:t>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7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10.80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、公务用车购置和维护经费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42" w:type="dxa"/>
            <w:vAlign w:val="center"/>
          </w:tcPr>
          <w:p>
            <w:pPr>
              <w:ind w:firstLine="840" w:firstLineChars="4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其中：公车购置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</w:rPr>
              <w:t>公车运行维护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、出国经费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 w:cs="宋体"/>
              </w:rPr>
              <w:t>、公务接待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7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10.80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、业务工作经费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、运行维护经费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45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45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、县级专项资金</w:t>
            </w:r>
          </w:p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公用经费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42.2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25.3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39.61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其中：办公经费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26.68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6.4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2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</w:rPr>
              <w:t>水费、电费、差旅费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10.4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23.22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15.93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会议费、培训费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4.4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5.4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6.58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政府采购金额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45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82.25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242" w:type="dxa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部门基本支出预算调整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3242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楼堂馆所控制情况</w:t>
            </w: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(2022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批复规模</w:t>
            </w:r>
            <w:r>
              <w:rPr>
                <w:rFonts w:hint="eastAsia" w:ascii="仿宋_GB2312" w:eastAsia="仿宋_GB2312"/>
              </w:rPr>
              <w:t xml:space="preserve"> 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实际规模</w:t>
            </w:r>
            <w:r>
              <w:rPr>
                <w:rFonts w:hint="eastAsia" w:ascii="仿宋_GB2312" w:eastAsia="仿宋_GB2312"/>
              </w:rPr>
              <w:t>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规模控制率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预算投资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实际投资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</w:rPr>
              <w:t>资概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242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0</w:t>
            </w:r>
          </w:p>
        </w:tc>
        <w:tc>
          <w:tcPr>
            <w:tcW w:w="950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69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36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2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厉行节约保障措施</w:t>
            </w:r>
          </w:p>
        </w:tc>
        <w:tc>
          <w:tcPr>
            <w:tcW w:w="6084" w:type="dxa"/>
            <w:gridSpan w:val="6"/>
            <w:vAlign w:val="center"/>
          </w:tcPr>
          <w:p>
            <w:pPr>
              <w:ind w:firstLine="42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始终把艰苦奋斗、勤俭节约惯穿财务全过程，规范财务管理，健全节约型保障措施</w:t>
            </w:r>
          </w:p>
        </w:tc>
      </w:tr>
    </w:tbl>
    <w:p>
      <w:pPr>
        <w:rPr>
          <w:rFonts w:hint="eastAsia" w:ascii="仿宋_GB2312" w:hAnsi="宋体" w:eastAsia="仿宋_GB2312" w:cs="宋体"/>
          <w:sz w:val="24"/>
          <w:szCs w:val="24"/>
          <w:lang w:eastAsia="zh-CN"/>
        </w:rPr>
      </w:pPr>
    </w:p>
    <w:p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填报基本支出中的一般商品和服务支出。</w:t>
      </w:r>
    </w:p>
    <w:p>
      <w:pPr>
        <w:spacing w:before="65" w:line="228" w:lineRule="auto"/>
        <w:ind w:firstLine="102" w:firstLineChars="49"/>
        <w:rPr>
          <w:rFonts w:hint="default" w:eastAsiaTheme="minorEastAsia"/>
          <w:sz w:val="20"/>
          <w:szCs w:val="20"/>
          <w:lang w:val="en-US" w:eastAsia="zh-CN"/>
        </w:rPr>
        <w:sectPr>
          <w:footerReference r:id="rId3" w:type="default"/>
          <w:footerReference r:id="rId4" w:type="even"/>
          <w:pgSz w:w="11907" w:h="16839"/>
          <w:pgMar w:top="1418" w:right="1474" w:bottom="680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lang w:eastAsia="zh-CN"/>
        </w:rPr>
        <w:t xml:space="preserve">填表人：  </w:t>
      </w:r>
      <w:r>
        <w:rPr>
          <w:rFonts w:hint="eastAsia" w:ascii="仿宋_GB2312" w:hAnsi="宋体" w:eastAsia="仿宋_GB2312" w:cs="宋体"/>
          <w:lang w:val="en-US" w:eastAsia="zh-CN"/>
        </w:rPr>
        <w:t>孟波</w:t>
      </w:r>
      <w:r>
        <w:rPr>
          <w:rFonts w:ascii="仿宋_GB2312" w:hAnsi="宋体" w:eastAsia="仿宋_GB2312" w:cs="宋体"/>
          <w:lang w:eastAsia="zh-CN"/>
        </w:rPr>
        <w:t xml:space="preserve">       填报日期：        </w:t>
      </w:r>
      <w:r>
        <w:rPr>
          <w:rFonts w:hint="eastAsia" w:ascii="仿宋_GB2312" w:hAnsi="宋体" w:eastAsia="仿宋_GB2312" w:cs="宋体"/>
          <w:lang w:eastAsia="zh-CN"/>
        </w:rPr>
        <w:t xml:space="preserve"> </w:t>
      </w:r>
      <w:r>
        <w:rPr>
          <w:rFonts w:ascii="仿宋_GB2312" w:hAnsi="宋体" w:eastAsia="仿宋_GB2312" w:cs="宋体"/>
          <w:lang w:eastAsia="zh-CN"/>
        </w:rPr>
        <w:t>联系电话：     单位负责人签字：</w:t>
      </w:r>
      <w:r>
        <w:rPr>
          <w:rFonts w:hint="eastAsia" w:ascii="仿宋_GB2312" w:hAnsi="宋体" w:eastAsia="仿宋_GB2312" w:cs="宋体"/>
          <w:lang w:val="en-US" w:eastAsia="zh-CN"/>
        </w:rPr>
        <w:t>黎安福</w:t>
      </w:r>
    </w:p>
    <w:p>
      <w:pPr>
        <w:spacing w:before="117" w:line="219" w:lineRule="auto"/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附件2</w:t>
      </w:r>
    </w:p>
    <w:p>
      <w:pPr>
        <w:spacing w:before="117" w:line="219" w:lineRule="auto"/>
        <w:jc w:val="center"/>
        <w:rPr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年度部门整体支出绩效自评表</w:t>
      </w:r>
    </w:p>
    <w:tbl>
      <w:tblPr>
        <w:tblStyle w:val="8"/>
        <w:tblW w:w="1005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75"/>
        <w:gridCol w:w="1041"/>
        <w:gridCol w:w="1257"/>
        <w:gridCol w:w="1308"/>
        <w:gridCol w:w="1279"/>
        <w:gridCol w:w="703"/>
        <w:gridCol w:w="874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预算部门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名称</w:t>
            </w:r>
          </w:p>
        </w:tc>
        <w:tc>
          <w:tcPr>
            <w:tcW w:w="8980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河道砂石综合执法局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年度预算申请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年初预算数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全年预算数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全年执行数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执行率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年度资金总额</w:t>
            </w: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536.73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536.73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536.73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按收入性质分：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其中：一般公共预算：536.73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491.73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0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纳入专户管理的非税收入拨款：0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其他资金：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0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年度总体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</w:rPr>
              <w:t>目标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1.全市河道采砂统一管理，组织协调和监督检查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18"/>
                <w:szCs w:val="18"/>
              </w:rPr>
              <w:t>2.加强河道禁采宣传和管理，维护河势稳定，规范河道采砂秩序</w:t>
            </w:r>
          </w:p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3.负责协助查处打击非法采砂、非法运砂等涉砂违法违规行为，确保全市河道禁采安全。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1.全市河道采砂统一管理，组织协调和监督检查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18"/>
                <w:szCs w:val="18"/>
              </w:rPr>
              <w:t>2.加强河道禁采宣传和管理，维护河势稳定，规范河道采砂秩序3.负责协助查处打击非法采砂、非法运砂等涉砂违法违规行为，确保全市河道禁采安全。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79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分析及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eastAsia="仿宋_GB2312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禁采区安全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年度绩效考核</w:t>
            </w:r>
          </w:p>
        </w:tc>
        <w:tc>
          <w:tcPr>
            <w:tcW w:w="1308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年度绩效考核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良好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完成时间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即时完成</w:t>
            </w:r>
          </w:p>
        </w:tc>
        <w:tc>
          <w:tcPr>
            <w:tcW w:w="1279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即时完成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  <w:r>
              <w:rPr>
                <w:rFonts w:hint="eastAsia" w:ascii="仿宋_GB2312" w:eastAsia="仿宋_GB2312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增加财政收入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投诉举报办结率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生态环境修复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生态环境建设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长期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长期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</w:rPr>
              <w:t>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群众满意度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04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实际完成控制在概算内</w:t>
            </w:r>
          </w:p>
        </w:tc>
        <w:tc>
          <w:tcPr>
            <w:tcW w:w="1308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按计划实施</w:t>
            </w:r>
          </w:p>
        </w:tc>
        <w:tc>
          <w:tcPr>
            <w:tcW w:w="1279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按计划实施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25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9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25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对河道水环境负面影响</w:t>
            </w:r>
          </w:p>
        </w:tc>
        <w:tc>
          <w:tcPr>
            <w:tcW w:w="130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127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7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39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总分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87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98</w:t>
            </w:r>
          </w:p>
        </w:tc>
        <w:tc>
          <w:tcPr>
            <w:tcW w:w="144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93" w:line="236" w:lineRule="auto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孟波</w:t>
      </w:r>
      <w:r>
        <w:rPr>
          <w:rFonts w:ascii="仿宋_GB2312" w:hAnsi="宋体" w:eastAsia="仿宋_GB2312" w:cs="宋体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 xml:space="preserve"> 填报日期：            联系电话：   </w:t>
      </w:r>
      <w:r>
        <w:rPr>
          <w:rFonts w:hint="eastAsia" w:ascii="仿宋_GB2312" w:hAnsi="宋体" w:eastAsia="仿宋_GB2312" w:cs="宋体"/>
          <w:lang w:eastAsia="zh-CN"/>
        </w:rPr>
        <w:t xml:space="preserve">   </w:t>
      </w:r>
      <w:r>
        <w:rPr>
          <w:rFonts w:ascii="仿宋_GB2312" w:hAnsi="宋体" w:eastAsia="仿宋_GB2312" w:cs="宋体"/>
          <w:lang w:eastAsia="zh-CN"/>
        </w:rPr>
        <w:t>单位负责人签字：</w:t>
      </w:r>
      <w:r>
        <w:rPr>
          <w:rFonts w:hint="eastAsia" w:ascii="仿宋_GB2312" w:hAnsi="宋体" w:eastAsia="仿宋_GB2312" w:cs="宋体"/>
          <w:lang w:val="en-US" w:eastAsia="zh-CN"/>
        </w:rPr>
        <w:t>黎安福</w:t>
      </w:r>
      <w:r>
        <w:rPr>
          <w:rFonts w:ascii="仿宋_GB2312" w:hAnsi="宋体" w:eastAsia="仿宋_GB2312" w:cs="宋体"/>
          <w:sz w:val="35"/>
          <w:szCs w:val="35"/>
          <w:lang w:eastAsia="zh-CN"/>
        </w:rPr>
        <w:t xml:space="preserve"> </w:t>
      </w:r>
    </w:p>
    <w:p>
      <w:pPr>
        <w:spacing w:before="293" w:line="236" w:lineRule="auto"/>
        <w:ind w:firstLine="552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rPr>
          <w:lang w:eastAsia="zh-CN"/>
        </w:rPr>
      </w:pPr>
    </w:p>
    <w:tbl>
      <w:tblPr>
        <w:tblStyle w:val="8"/>
        <w:tblW w:w="95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135"/>
        <w:gridCol w:w="985"/>
        <w:gridCol w:w="1103"/>
        <w:gridCol w:w="1028"/>
        <w:gridCol w:w="1025"/>
        <w:gridCol w:w="754"/>
        <w:gridCol w:w="793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项目支出名称</w:t>
            </w:r>
          </w:p>
        </w:tc>
        <w:tc>
          <w:tcPr>
            <w:tcW w:w="8116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河道砂石协调管理经费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主管部门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河道砂石综合执法局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单位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河道砂石综合执法局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lang w:eastAsia="zh-CN"/>
              </w:rPr>
              <w:t>)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年初预算数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全年预算数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全年执行数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分值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执行率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年度资金总额</w:t>
            </w: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其中：当年财政拨款</w:t>
            </w: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上年结转资金</w:t>
            </w: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其他资金</w:t>
            </w: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251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加强河道道禁采工作及水域安全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加强河道道禁采工作及水域安全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3</w:t>
            </w:r>
            <w:r>
              <w:rPr>
                <w:rFonts w:ascii="仿宋_GB2312" w:hAnsi="宋体" w:eastAsia="仿宋_GB2312" w:cs="宋体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禁采区安全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年度绩效考核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年度绩效考核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良好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完成时间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即时完成</w:t>
            </w:r>
          </w:p>
        </w:tc>
        <w:tc>
          <w:tcPr>
            <w:tcW w:w="1025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即时完成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增加财政收入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投诉举报办结率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生态环境修复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明显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生态环境建设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长期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长期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  <w:r>
              <w:rPr>
                <w:rFonts w:ascii="仿宋_GB2312" w:hAnsi="宋体" w:eastAsia="仿宋_GB2312" w:cs="宋体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98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群众满意度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98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实际完成控制在概算内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按计划实施</w:t>
            </w:r>
          </w:p>
        </w:tc>
        <w:tc>
          <w:tcPr>
            <w:tcW w:w="1025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按计划实施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10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70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8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103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对河道水环境负面影响</w:t>
            </w:r>
          </w:p>
        </w:tc>
        <w:tc>
          <w:tcPr>
            <w:tcW w:w="1027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1025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754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746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总分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100</w:t>
            </w:r>
          </w:p>
        </w:tc>
        <w:tc>
          <w:tcPr>
            <w:tcW w:w="7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spacing w:before="52" w:line="219" w:lineRule="auto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备注： 一个一级项目支出一张表。如，业务工作经费，运行维护经费，其他事业发展类资金各一张表.</w:t>
      </w:r>
    </w:p>
    <w:p>
      <w:pPr>
        <w:rPr>
          <w:rFonts w:hint="default" w:ascii="仿宋_GB2312" w:hAnsi="宋体" w:eastAsia="仿宋_GB2312" w:cs="宋体"/>
          <w:lang w:val="en-US" w:eastAsia="zh-CN"/>
        </w:rPr>
        <w:sectPr>
          <w:footerReference r:id="rId5" w:type="default"/>
          <w:pgSz w:w="11907" w:h="16839"/>
          <w:pgMar w:top="1191" w:right="851" w:bottom="1134" w:left="1701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lang w:eastAsia="zh-CN"/>
        </w:rPr>
        <w:t>填表人：</w:t>
      </w:r>
      <w:r>
        <w:rPr>
          <w:rFonts w:ascii="仿宋_GB2312" w:hAnsi="宋体" w:eastAsia="仿宋_GB2312" w:cs="宋体"/>
          <w:lang w:eastAsia="zh-CN"/>
        </w:rPr>
        <w:t xml:space="preserve">  </w:t>
      </w:r>
      <w:r>
        <w:rPr>
          <w:rFonts w:hint="eastAsia" w:ascii="仿宋_GB2312" w:hAnsi="宋体" w:eastAsia="仿宋_GB2312" w:cs="宋体"/>
          <w:lang w:val="en-US" w:eastAsia="zh-CN"/>
        </w:rPr>
        <w:t>孟波</w:t>
      </w:r>
      <w:r>
        <w:rPr>
          <w:rFonts w:ascii="仿宋_GB2312" w:hAnsi="宋体" w:eastAsia="仿宋_GB2312" w:cs="宋体"/>
          <w:lang w:eastAsia="zh-CN"/>
        </w:rPr>
        <w:t xml:space="preserve">         </w:t>
      </w:r>
      <w:r>
        <w:rPr>
          <w:rFonts w:hint="eastAsia" w:ascii="仿宋_GB2312" w:hAnsi="宋体" w:eastAsia="仿宋_GB2312" w:cs="宋体"/>
          <w:lang w:eastAsia="zh-CN"/>
        </w:rPr>
        <w:t>填报日期：</w:t>
      </w:r>
      <w:r>
        <w:rPr>
          <w:rFonts w:ascii="仿宋_GB2312" w:hAnsi="宋体" w:eastAsia="仿宋_GB2312" w:cs="宋体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lang w:eastAsia="zh-CN"/>
        </w:rPr>
        <w:t>联系电话：</w:t>
      </w:r>
      <w:r>
        <w:rPr>
          <w:rFonts w:ascii="仿宋_GB2312" w:hAnsi="宋体" w:eastAsia="仿宋_GB2312" w:cs="宋体"/>
          <w:lang w:eastAsia="zh-CN"/>
        </w:rPr>
        <w:t xml:space="preserve">        </w:t>
      </w:r>
      <w:r>
        <w:rPr>
          <w:rFonts w:hint="eastAsia" w:ascii="仿宋_GB2312" w:hAnsi="宋体" w:eastAsia="仿宋_GB2312" w:cs="宋体"/>
          <w:lang w:eastAsia="zh-CN"/>
        </w:rPr>
        <w:t>单位负责人签字:</w:t>
      </w:r>
      <w:r>
        <w:rPr>
          <w:rFonts w:hint="eastAsia" w:ascii="仿宋_GB2312" w:hAnsi="宋体" w:eastAsia="仿宋_GB2312" w:cs="宋体"/>
          <w:lang w:val="en-US" w:eastAsia="zh-CN"/>
        </w:rPr>
        <w:t>黎安福</w:t>
      </w:r>
    </w:p>
    <w:p>
      <w:pPr>
        <w:spacing w:line="267" w:lineRule="auto"/>
        <w:ind w:firstLine="552"/>
        <w:jc w:val="both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附件4</w:t>
      </w:r>
    </w:p>
    <w:p>
      <w:pPr>
        <w:ind w:firstLine="88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河道砂石综合执法局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整体支出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绩效自评报告</w:t>
      </w: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 xml:space="preserve">2023年  5 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eastAsia="zh-CN"/>
        </w:rPr>
        <w:t xml:space="preserve">月 9   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日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hint="eastAsia" w:asciiTheme="minorEastAsia" w:hAnsiTheme="minorEastAsia" w:eastAsiaTheme="minorEastAsia"/>
          <w:sz w:val="28"/>
          <w:szCs w:val="28"/>
        </w:rPr>
      </w:sdtEndPr>
      <w:sdtContent>
        <w:p>
          <w:pPr>
            <w:pStyle w:val="4"/>
            <w:ind w:firstLine="360"/>
            <w:rPr>
              <w:rFonts w:asciiTheme="minorEastAsia" w:hAnsiTheme="minorEastAsia" w:eastAsiaTheme="minorEastAsia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河道砂石综合执法局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部门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(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单位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)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基本情况</w:t>
      </w:r>
    </w:p>
    <w:p>
      <w:pPr>
        <w:rPr>
          <w:rFonts w:ascii="仿宋_GB2312" w:hAnsi="仿宋_GB2312" w:eastAsia="仿宋_GB2312" w:cs="仿宋_GB2312"/>
          <w:snapToGrid/>
          <w:color w:val="555555"/>
          <w:sz w:val="30"/>
          <w:szCs w:val="30"/>
          <w:shd w:val="clear" w:color="auto" w:fill="FFFFFF"/>
        </w:rPr>
      </w:pP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我单位为公益一类全额拨款事业单位，其中编制人数40人，</w:t>
      </w:r>
      <w:r>
        <w:rPr>
          <w:rFonts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年末实有人数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eastAsia="zh-CN"/>
        </w:rPr>
        <w:t>54</w:t>
      </w:r>
      <w:r>
        <w:rPr>
          <w:rFonts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。设局长1人，副局长2人，内设机构6个：办公室、砂政股、安监股、法规股、财计股、生产管理股。主要职能职责：为河道采砂生产经营提供管理和服务保障，负责本市水域采砂统一管理，组织协调监督检查，采砂许可的初步审查工作。负责采砂现场生产安全管理。负责本市砂石资源有偿出让价款的征缴工作，协助河道采砂涉及的税费政府性基金等费用的征缴</w:t>
      </w:r>
      <w:r>
        <w:rPr>
          <w:rFonts w:hint="eastAsia" w:ascii="仿宋_GB2312" w:hAnsi="仿宋_GB2312" w:eastAsia="仿宋_GB2312" w:cs="仿宋_GB2312"/>
          <w:snapToGrid/>
          <w:color w:val="555555"/>
          <w:sz w:val="30"/>
          <w:szCs w:val="30"/>
          <w:shd w:val="clear" w:color="auto" w:fill="FFFFFF"/>
        </w:rPr>
        <w:t>。</w:t>
      </w:r>
    </w:p>
    <w:p>
      <w:pPr>
        <w:spacing w:before="211" w:line="224" w:lineRule="auto"/>
        <w:jc w:val="both"/>
        <w:rPr>
          <w:rFonts w:ascii="方正黑体_GBK" w:hAnsi="仿宋" w:eastAsia="方正黑体_GBK" w:cs="仿宋"/>
          <w:sz w:val="30"/>
          <w:szCs w:val="30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基本支出情况</w:t>
      </w:r>
    </w:p>
    <w:p>
      <w:pPr>
        <w:pStyle w:val="11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  <w:t xml:space="preserve"> 202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  <w:t>年基本支出49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1.73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405.37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  <w:t>万元，公用经费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86.3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en-US"/>
        </w:rPr>
        <w:t>6万元。</w:t>
      </w:r>
    </w:p>
    <w:p>
      <w:pPr>
        <w:pStyle w:val="10"/>
        <w:spacing w:line="600" w:lineRule="exact"/>
        <w:ind w:firstLine="640"/>
        <w:jc w:val="both"/>
        <w:rPr>
          <w:rFonts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eastAsia="zh-CN"/>
        </w:rPr>
      </w:pPr>
    </w:p>
    <w:p>
      <w:pPr>
        <w:pStyle w:val="10"/>
        <w:numPr>
          <w:ilvl w:val="0"/>
          <w:numId w:val="2"/>
        </w:numPr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</w:t>
      </w:r>
    </w:p>
    <w:p>
      <w:pPr>
        <w:pStyle w:val="10"/>
        <w:spacing w:line="600" w:lineRule="exact"/>
        <w:ind w:firstLine="64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项目支出情况：运行维护经费20万元。主要用于河道禁采协调工作费用</w:t>
      </w:r>
    </w:p>
    <w:p>
      <w:pPr>
        <w:pStyle w:val="10"/>
        <w:spacing w:line="600" w:lineRule="exact"/>
        <w:ind w:firstLine="0" w:firstLineChars="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政府性基金预算支出情况</w:t>
      </w:r>
    </w:p>
    <w:p>
      <w:pPr>
        <w:spacing w:line="600" w:lineRule="exact"/>
        <w:ind w:firstLine="1280" w:firstLineChars="4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无政府性基金预算支出。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国有资本经营预算支出情况</w:t>
      </w:r>
    </w:p>
    <w:p>
      <w:pPr>
        <w:spacing w:line="600" w:lineRule="exact"/>
        <w:ind w:firstLine="1280" w:firstLineChars="4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无国有资本经营预算支出。</w:t>
      </w:r>
    </w:p>
    <w:p>
      <w:pPr>
        <w:spacing w:line="600" w:lineRule="exact"/>
        <w:ind w:left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社会保险基金预算支出情况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基本养老保险缴费支出42.40万元；职业年金缴费支出21.20万元；职工基本医疗保险缴费支出19.87万元；其他社会保障缴费11.61万元；住房公积金支出31.80万元。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六、部门整体支出绩效情况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 一是部门预算管理。包括绩效目标制定、目标完成、预算编制准确、支出控制、预算动态调整、执行进度、预算完成情况和违规记录等情况。2022年本部门的绩效目标制定、目标完成、预决算编制等均按照市财政局下达的相关文件指标进了编制，均按相关要求严格执行预算范围内开支，并完成所有预定目标，年中人员调离本单位，及时进行了预算动态调整，全年无违规记录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       二是专项预算管理。包括专项预算项目程序严密、规划合理、结果符合、分配科学、分配及时、专项预算绩效目标完成、实施绩效、违规记录等情况。严格执行《湖南省省级财政专项资金绩效分配管理暂行办法》按照省级的专项资金管理办法，实施专款专用原则根据各项目展、完成情况，合理规划、科学分配专项资金，项目资金专项专用。完成专项预算绩效目标，无违规记录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存在的问题及原因分析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一是部门整体绩效目标设立简单，绩效目标制定不明晰，定性指标居多，量化指标偏少。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   二是固定资产管理工作不到位，固定资产管理意识尚需提高。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三、财务管理发面，会计核算还不够细致，财务核算不能详细分类核算，绩效评价基础数据不够准确。</w:t>
      </w:r>
    </w:p>
    <w:p>
      <w:pPr>
        <w:rPr>
          <w:rFonts w:ascii="Times New Roman" w:hAnsi="Times New Roman" w:eastAsia="仿宋_GB2312"/>
        </w:rPr>
      </w:pP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下一步改进措施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一是及时完善相关管理制度。结合单位实际，进一步健全完善单位内部管理制度，制定单位预算绩效、政府采购、合同管理、内部控制等管理制度，确保工作开展程序化、规范化。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       二是加强绩效管理工作。根据部门眩要职责、年度主要、重点为内容进一步完善、细化、量化绩效目标，强化全过程绩效管理，将绩效管理贯穿于项目实施的每一个环节，及时发现并纠正绩效管理过程中存大的问题，提高资金使用效率。</w:t>
      </w:r>
    </w:p>
    <w:p>
      <w:pPr>
        <w:spacing w:line="600" w:lineRule="exact"/>
        <w:ind w:left="420" w:leftChars="200"/>
        <w:jc w:val="both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600" w:lineRule="exact"/>
        <w:ind w:left="420" w:leftChars="200"/>
        <w:jc w:val="both"/>
        <w:rPr>
          <w:rFonts w:ascii="方正黑体_GBK" w:eastAsia="方正黑体_GBK"/>
          <w:sz w:val="32"/>
          <w:szCs w:val="32"/>
          <w:lang w:eastAsia="zh-CN"/>
        </w:rPr>
      </w:pP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部门整体支出绩效自评结果拟应用和公开情况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自评结果应用计划：一是加强资金分配监管，在资金分配方面，我们将更加注重资金分配机制，确保资金能够优先用于重点领域和关键项目。同时时加强对资金使用情况的监管，防止资金浪费和违规使用。二是提升绩效管理水平，结合自评结果，我们将进一步完善绩效评价体系，强化绩效管理意识，通过定期开展绩效培训和交流活动，提升部门员工的绩效管理能力和水平。同时建立绩效激励机制，将绩效结果与员工考核和奖惩挂钩，激发员工的工作积极性和创造性。</w:t>
      </w:r>
    </w:p>
    <w:p>
      <w:pPr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       自评结果公开计划：无</w:t>
      </w:r>
    </w:p>
    <w:p>
      <w:pPr>
        <w:spacing w:line="600" w:lineRule="exact"/>
        <w:ind w:left="420" w:leftChars="200"/>
        <w:jc w:val="both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/>
        </w:rPr>
        <w:t xml:space="preserve">   (</w:t>
      </w:r>
      <w:r>
        <w:rPr>
          <w:spacing w:val="68"/>
          <w:sz w:val="27"/>
          <w:szCs w:val="27"/>
          <w:u w:val="single"/>
        </w:rPr>
        <w:t xml:space="preserve"> </w:t>
      </w:r>
      <w:r>
        <w:rPr>
          <w:spacing w:val="-22"/>
          <w:sz w:val="27"/>
          <w:szCs w:val="27"/>
          <w:u w:val="single"/>
        </w:rPr>
        <w:t>盖</w:t>
      </w:r>
      <w:r>
        <w:rPr>
          <w:spacing w:val="64"/>
          <w:sz w:val="27"/>
          <w:szCs w:val="27"/>
          <w:u w:val="single"/>
        </w:rPr>
        <w:t xml:space="preserve"> </w:t>
      </w:r>
      <w:r>
        <w:rPr>
          <w:spacing w:val="-22"/>
          <w:sz w:val="27"/>
          <w:szCs w:val="27"/>
          <w:u w:val="single"/>
        </w:rPr>
        <w:t>章</w:t>
      </w:r>
      <w:r>
        <w:rPr>
          <w:spacing w:val="55"/>
          <w:sz w:val="27"/>
          <w:szCs w:val="27"/>
          <w:u w:val="single"/>
        </w:rPr>
        <w:t xml:space="preserve"> </w:t>
      </w:r>
      <w:r>
        <w:rPr>
          <w:spacing w:val="-22"/>
          <w:sz w:val="27"/>
          <w:szCs w:val="27"/>
          <w:u w:val="single"/>
        </w:rPr>
        <w:t>)</w:t>
      </w:r>
      <w:r>
        <w:rPr>
          <w:sz w:val="27"/>
          <w:szCs w:val="27"/>
          <w:u w:val="single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6" w:type="default"/>
          <w:pgSz w:w="11900" w:h="16820"/>
          <w:pgMar w:top="737" w:right="1780" w:bottom="567" w:left="1452" w:header="0" w:footer="851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(一)项目支出概况。</w:t>
      </w:r>
      <w:r>
        <w:rPr>
          <w:rFonts w:hint="eastAsia" w:eastAsia="仿宋_GB2312"/>
          <w:sz w:val="32"/>
          <w:szCs w:val="32"/>
          <w:lang w:eastAsia="zh-CN"/>
        </w:rPr>
        <w:t>主要包括项目支出决策背景及其主要内容。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sz w:val="32"/>
          <w:szCs w:val="32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主要包括绩效总目标和</w:t>
      </w:r>
    </w:p>
    <w:p>
      <w:pPr>
        <w:pStyle w:val="2"/>
        <w:spacing w:line="560" w:lineRule="exact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阶段性目标，实现的产出情况和取得的效益情况。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(一)项目支出决策情况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(二)项目执行过程情况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(三)项目支出产出情况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(四)项目支出效益情况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spacing w:line="560" w:lineRule="exact"/>
        <w:ind w:firstLine="700"/>
        <w:jc w:val="both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spacing w:line="560" w:lineRule="exact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主要问题。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spacing w:line="560" w:lineRule="exact"/>
        <w:ind w:firstLine="562" w:firstLineChars="20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737147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737146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7371474"/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</w:rPr>
        </w:pPr>
      </w:p>
    </w:sdtContent>
  </w:sdt>
  <w:p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1289C"/>
    <w:multiLevelType w:val="singleLevel"/>
    <w:tmpl w:val="1DF12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7004A7"/>
    <w:multiLevelType w:val="singleLevel"/>
    <w:tmpl w:val="1E7004A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90FD7F"/>
    <w:multiLevelType w:val="singleLevel"/>
    <w:tmpl w:val="6A90FD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NjE5MWE3MTBiNjE4MDlhOTM0MTQ5YWYyOWU3OGQifQ=="/>
  </w:docVars>
  <w:rsids>
    <w:rsidRoot w:val="00607DB3"/>
    <w:rsid w:val="00243183"/>
    <w:rsid w:val="00572C44"/>
    <w:rsid w:val="00607DB3"/>
    <w:rsid w:val="01AF3811"/>
    <w:rsid w:val="03795BF7"/>
    <w:rsid w:val="086E756B"/>
    <w:rsid w:val="0ACF37E5"/>
    <w:rsid w:val="0B400BC6"/>
    <w:rsid w:val="0DBD678C"/>
    <w:rsid w:val="0E68228D"/>
    <w:rsid w:val="0F821E7D"/>
    <w:rsid w:val="15276E52"/>
    <w:rsid w:val="19D32FBC"/>
    <w:rsid w:val="1CFF32CC"/>
    <w:rsid w:val="1E6A4395"/>
    <w:rsid w:val="25557A3D"/>
    <w:rsid w:val="267C34A2"/>
    <w:rsid w:val="26EA5ED7"/>
    <w:rsid w:val="27A93B82"/>
    <w:rsid w:val="2AE00186"/>
    <w:rsid w:val="2E641D37"/>
    <w:rsid w:val="308216BE"/>
    <w:rsid w:val="34FE1149"/>
    <w:rsid w:val="39ED5BF5"/>
    <w:rsid w:val="3A550786"/>
    <w:rsid w:val="3B7A130F"/>
    <w:rsid w:val="447E552E"/>
    <w:rsid w:val="4F8B6063"/>
    <w:rsid w:val="522C14E2"/>
    <w:rsid w:val="52FA3F96"/>
    <w:rsid w:val="55850F17"/>
    <w:rsid w:val="57AE6D93"/>
    <w:rsid w:val="5FB623A7"/>
    <w:rsid w:val="676C1E7F"/>
    <w:rsid w:val="698F62F8"/>
    <w:rsid w:val="6C0D3DE9"/>
    <w:rsid w:val="6E3851B0"/>
    <w:rsid w:val="6EBC7B8F"/>
    <w:rsid w:val="7ED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410D76-AF44-45D6-AC63-94098F8B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3443</Words>
  <Characters>3723</Characters>
  <Lines>33</Lines>
  <Paragraphs>9</Paragraphs>
  <TotalTime>0</TotalTime>
  <ScaleCrop>false</ScaleCrop>
  <LinksUpToDate>false</LinksUpToDate>
  <CharactersWithSpaces>3899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小蜜蜂</cp:lastModifiedBy>
  <cp:lastPrinted>2024-05-21T14:05:00Z</cp:lastPrinted>
  <dcterms:modified xsi:type="dcterms:W3CDTF">2024-07-12T03:37:12Z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F14E8972A4EE421193F1C0E8AE694D88_13</vt:lpwstr>
  </property>
</Properties>
</file>