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247</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43.76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411.34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520.31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44.86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37.27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62.24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970.41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1811.91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6838.39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曾鑫蕾</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5256330</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汨罗市交通运输系统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4121.77</w:t>
            </w: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15718.34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15718.34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3158.36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12558.64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both"/>
              <w:rPr>
                <w:rFonts w:hint="eastAsia" w:ascii="仿宋_GB2312" w:eastAsia="仿宋_GB2312"/>
                <w:kern w:val="0"/>
              </w:rPr>
            </w:pPr>
            <w:r>
              <w:rPr>
                <w:rFonts w:hint="eastAsia" w:ascii="仿宋_GB2312" w:eastAsia="仿宋_GB2312"/>
                <w:kern w:val="0"/>
              </w:rPr>
              <w:t>目标1：加快推进平益高速汨罗段、骆驼大道二期工程建设，实现10月通车的目标任务。</w:t>
            </w:r>
          </w:p>
          <w:p>
            <w:pPr>
              <w:spacing w:line="240" w:lineRule="auto"/>
              <w:ind w:firstLine="420"/>
              <w:jc w:val="both"/>
              <w:rPr>
                <w:rFonts w:hint="eastAsia"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2：</w:t>
            </w:r>
            <w:r>
              <w:rPr>
                <w:rFonts w:hint="eastAsia" w:ascii="仿宋_GB2312" w:eastAsia="仿宋_GB2312"/>
                <w:kern w:val="0"/>
              </w:rPr>
              <w:t>大力推动万家丽路北延工程、G107改线湖南工程机械配套产业段工程和许广高速汨罗连接线工程建设，全面打通融长快速通道。</w:t>
            </w:r>
          </w:p>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3：继续巩固全省“四好农村路”示范县创建成果，继续推进S313、S316、天伍公路、智八线和200公里农村公路提质改造工程建设。</w:t>
            </w:r>
          </w:p>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目标4：继续巩固全省“四好农村路”示范县创建成果，继续推进S313、S316、天伍公路、智八线和200公里农村公路提质改造工程建设。</w:t>
            </w:r>
          </w:p>
          <w:p>
            <w:pPr>
              <w:spacing w:line="240" w:lineRule="auto"/>
              <w:ind w:firstLine="420"/>
              <w:jc w:val="center"/>
              <w:rPr>
                <w:rFonts w:ascii="仿宋_GB2312" w:eastAsia="仿宋_GB2312"/>
                <w:kern w:val="0"/>
              </w:rPr>
            </w:pPr>
            <w:r>
              <w:rPr>
                <w:rFonts w:hint="eastAsia" w:ascii="仿宋_GB2312" w:eastAsia="仿宋_GB2312"/>
                <w:kern w:val="0"/>
                <w:lang w:val="en-US" w:eastAsia="zh-CN"/>
              </w:rPr>
              <w:t>目标5：强化交通运输行业监管,巩固提升安全生产专项整治三年行动成果,深化交通运输执法领域突出问题专项整治成果，继续开展交通运输综合行政执法队伍素质能力提升三年行动。</w:t>
            </w:r>
          </w:p>
        </w:tc>
        <w:tc>
          <w:tcPr>
            <w:tcW w:w="4260"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 xml:space="preserve">国省干线项目。平益高速、骆驼大道二期于11月28日同步实现全线通车目标；S313汨罗桃林至白塘公路已完成工可批复、施工设计图批复等前期工作，正在进行财评，年内将启动招投标，年后完成招投标即可施工建设；S508、S319路面改善工程项目均已进场施工建设，力争年内全面完成建设。  </w:t>
            </w:r>
          </w:p>
          <w:p>
            <w:pPr>
              <w:spacing w:line="240" w:lineRule="auto"/>
              <w:jc w:val="both"/>
              <w:rPr>
                <w:rFonts w:hint="eastAsia" w:ascii="仿宋_GB2312" w:eastAsia="仿宋_GB2312"/>
                <w:kern w:val="0"/>
              </w:rPr>
            </w:pPr>
            <w:r>
              <w:rPr>
                <w:rFonts w:hint="eastAsia" w:ascii="仿宋_GB2312" w:eastAsia="仿宋_GB2312"/>
                <w:kern w:val="0"/>
              </w:rPr>
              <w:t xml:space="preserve">2、民生实事项目。完成县道X047大中修、八景洞省级森林公园旅游通景公路、145公里资源路产业路旅游路、103公里农村公路生命防护工程和4座危旧桥梁改造建设任务。                        </w:t>
            </w:r>
          </w:p>
          <w:p>
            <w:pPr>
              <w:spacing w:line="240" w:lineRule="auto"/>
              <w:jc w:val="both"/>
              <w:rPr>
                <w:rFonts w:hint="eastAsia" w:ascii="仿宋_GB2312" w:eastAsia="仿宋_GB2312"/>
                <w:kern w:val="0"/>
              </w:rPr>
            </w:pPr>
            <w:r>
              <w:rPr>
                <w:rFonts w:hint="eastAsia" w:ascii="仿宋_GB2312" w:eastAsia="仿宋_GB2312"/>
                <w:kern w:val="0"/>
              </w:rPr>
              <w:t xml:space="preserve">3、水运建设项目。营田码头提质改造工程年内可完成施工建设；磊石集散中心项目，正在积极推进中；汨罗港进港航道建设项目在同步开展其他各项专项前期工作。                              </w:t>
            </w:r>
          </w:p>
          <w:p>
            <w:pPr>
              <w:spacing w:line="240" w:lineRule="auto"/>
              <w:jc w:val="both"/>
              <w:rPr>
                <w:rFonts w:hint="eastAsia" w:ascii="仿宋_GB2312" w:eastAsia="仿宋_GB2312"/>
                <w:kern w:val="0"/>
              </w:rPr>
            </w:pPr>
            <w:r>
              <w:rPr>
                <w:rFonts w:hint="eastAsia" w:ascii="仿宋_GB2312" w:eastAsia="仿宋_GB2312"/>
                <w:kern w:val="0"/>
              </w:rPr>
              <w:t xml:space="preserve">4、客货邮项目。在市客运总站建成面积达4000余平方米，集信息中心、分拣中心和电商直播等功能一体的市级农村客货邮融合发展运营中心，沿全市30条城乡巴士运营线路利用邮政站点、交通站场、社会快递站点、小商超等在全市157个行政村（社区）建成客货邮镇村服务站164个，充分发挥邮政集团汨罗分公司和众捷汽车运输公司国有企业在改革创新中的引领作用，推动与圆通、申通、中通、韵达、极兔等社会快递企业达成合作协议，通过采取节点网络共享、末端线路共配、运力资源共用的模式，构建了市、镇、村三级客货邮物流寄递新业态，实现了下行快件当日到、当日达、免费取，上行快件不出村、当日寄、当日送，彻底打通了工业品下村“最后一公里”和农产品进城“最初一公里”。  </w:t>
            </w:r>
          </w:p>
          <w:p>
            <w:pPr>
              <w:spacing w:line="240" w:lineRule="auto"/>
              <w:jc w:val="both"/>
              <w:rPr>
                <w:rFonts w:hint="eastAsia" w:ascii="仿宋_GB2312" w:eastAsia="仿宋_GB2312"/>
                <w:kern w:val="0"/>
              </w:rPr>
            </w:pPr>
            <w:r>
              <w:rPr>
                <w:rFonts w:hint="eastAsia" w:ascii="仿宋_GB2312" w:eastAsia="仿宋_GB2312"/>
                <w:kern w:val="0"/>
                <w:lang w:val="en-US" w:eastAsia="zh-CN"/>
              </w:rPr>
              <w:t>5、</w:t>
            </w:r>
            <w:r>
              <w:rPr>
                <w:rFonts w:hint="eastAsia" w:ascii="仿宋_GB2312" w:eastAsia="仿宋_GB2312"/>
                <w:kern w:val="0"/>
              </w:rPr>
              <w:t xml:space="preserve"> 扎实推进交通问题顽瘴痼疾整治。全面提升科技治超水平，扎实推进3套非现场不停车检测系统新建项目建设；积极推进安全隐患整治。一是全面推进国省干线路域安全环境整治，二是全面推进公路安全标志标牌集中整治。                    6、深化推进农村公路养护体制改革。建立了全市农村公路台帐，完成了农村公路管理制度、农村公路养护考核办法及“四好农村路”发展规划的编制工作，构建了涵盖县、乡、村三级“上下联动、数据共享、业务协同”的农村公路智能化养护管理系统。积极在汨罗镇、桃林寺镇开展改革试点工作，当前，试点乡镇各配套设施及工作人员均已落实到位，并由每个乡镇提供2条乡道、所辖各村各提供1条村道作为试点道路，5.42公里乡道和87.73公里村道交由市农村公路养护中心标准化养护后已移交所属镇村进行试点管养，正在深入探索实践。   </w:t>
            </w:r>
          </w:p>
          <w:p>
            <w:pPr>
              <w:spacing w:line="240" w:lineRule="auto"/>
              <w:jc w:val="both"/>
              <w:rPr>
                <w:rFonts w:hint="eastAsia" w:ascii="仿宋_GB2312" w:eastAsia="仿宋_GB2312"/>
                <w:kern w:val="0"/>
              </w:rPr>
            </w:pPr>
            <w:r>
              <w:rPr>
                <w:rFonts w:hint="eastAsia" w:ascii="仿宋_GB2312" w:eastAsia="仿宋_GB2312"/>
                <w:kern w:val="0"/>
              </w:rPr>
              <w:t xml:space="preserve">7、行业管理上。制定出台《汨罗市市管交通建设工程项目联合监管机制》，切实增强交通建设工程项目监管合力，提高事中事后监管效能。监督全市31家一、二、三类维修经营者将数据实时归集上传至汽车维修电子健康档案系统，监考道路运输从业人员资质考试16场，对备案许可企业展开日常巡查80余次，下达整改通知7起。扎实开展路警联合治超（含G107国道超限超载联合治理）、打非治违、驾培维修市场治理等专项行动，全年共查处非法营运车辆48台次、外地教练车异地培训案件3起、车辆维修企业违法案件6起，共检测货运车辆14023台次，查处改拼装车辆93台次、超限超载货运车辆394台次，卸载货物3908.33吨，有力维护了道路运输市场秩序。                                </w:t>
            </w:r>
          </w:p>
          <w:p>
            <w:pPr>
              <w:spacing w:line="240" w:lineRule="auto"/>
              <w:jc w:val="both"/>
              <w:rPr>
                <w:rFonts w:hint="eastAsia" w:ascii="仿宋_GB2312" w:eastAsia="仿宋_GB2312"/>
                <w:kern w:val="0"/>
              </w:rPr>
            </w:pPr>
            <w:r>
              <w:rPr>
                <w:rFonts w:hint="eastAsia" w:ascii="仿宋_GB2312" w:eastAsia="仿宋_GB2312"/>
                <w:kern w:val="0"/>
              </w:rPr>
              <w:t xml:space="preserve">8、服务改革上。积极完善优化公共设施，全面提升服务质量效能，全力推动罗城公交大院首末站、老火车站广场公交枢纽站、星火汽车站公交停保场项目建设，规划开通汨罗至营田、汨罗至弼时配套园、汨罗至长沙定制客运服务路线。进一步完善优化推进道路货运车辆网上年度审验，积极加强道路运输“三类九证”电子证照应用推广办理，全年通过网络完成企业（含个体）普货运输经营许可、机动车维修备案、道路运输证件年审等行政审批事项2896余项，办理申领《道路运输证》等电子证照800件。                                    </w:t>
            </w:r>
          </w:p>
          <w:p>
            <w:pPr>
              <w:spacing w:line="240" w:lineRule="auto"/>
              <w:jc w:val="both"/>
              <w:rPr>
                <w:rFonts w:ascii="仿宋_GB2312" w:eastAsia="仿宋_GB2312"/>
                <w:kern w:val="0"/>
              </w:rPr>
            </w:pPr>
            <w:r>
              <w:rPr>
                <w:rFonts w:hint="eastAsia" w:ascii="仿宋_GB2312" w:eastAsia="仿宋_GB2312"/>
                <w:kern w:val="0"/>
              </w:rPr>
              <w:t xml:space="preserve">9、筑牢疫情防控阵线。交通运输局作为阻击新冠肺炎疫情的中坚力量，全系统广大党员干部职工慎始如终在交通运输“三站一场”、高速国省干线重点进出口疫情防控前沿阵地，严格按照市委市政府的有关决策部署值班值守，积极落实各项防控措施政策，同时，组织专班专人督促交通运输行业中高风险岗位人员严格按照上级规定频次开展核酸检测。特别是在10月本市爆发的新冠疫情中，交通运输系统组织各类应急人员500多人次、转运车辆近200台次，转运密切接触人员700多人、工作人员500多人次、学生1000余人和核酸样本30批次，为全市打赢疫情防控阻击战提供了有力保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numPr>
                <w:ilvl w:val="0"/>
                <w:numId w:val="0"/>
              </w:num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lang w:eastAsia="zh-CN"/>
              </w:rPr>
              <w:t>铁路沿线安全环境的整治</w:t>
            </w:r>
          </w:p>
          <w:p>
            <w:pPr>
              <w:numPr>
                <w:ilvl w:val="0"/>
                <w:numId w:val="0"/>
              </w:numPr>
              <w:spacing w:line="240" w:lineRule="auto"/>
              <w:jc w:val="both"/>
              <w:rPr>
                <w:rFonts w:hint="eastAsia" w:ascii="仿宋_GB2312" w:eastAsia="仿宋_GB2312"/>
                <w:kern w:val="0"/>
              </w:rPr>
            </w:pPr>
            <w:r>
              <w:rPr>
                <w:rFonts w:hint="eastAsia" w:ascii="仿宋_GB2312" w:eastAsia="仿宋_GB2312"/>
                <w:kern w:val="0"/>
                <w:lang w:val="en-US" w:eastAsia="zh-CN"/>
              </w:rPr>
              <w:t>2、</w:t>
            </w:r>
            <w:r>
              <w:rPr>
                <w:rFonts w:hint="eastAsia" w:ascii="仿宋_GB2312" w:eastAsia="仿宋_GB2312"/>
                <w:kern w:val="0"/>
                <w:lang w:eastAsia="zh-CN"/>
              </w:rPr>
              <w:t>四类人群免费乘车补贴人次</w:t>
            </w:r>
          </w:p>
          <w:p>
            <w:pPr>
              <w:spacing w:line="240" w:lineRule="auto"/>
              <w:jc w:val="both"/>
              <w:rPr>
                <w:rFonts w:hint="eastAsia" w:ascii="仿宋_GB2312" w:eastAsia="仿宋_GB2312"/>
                <w:kern w:val="0"/>
                <w:lang w:eastAsia="zh-CN"/>
              </w:rPr>
            </w:pPr>
            <w:r>
              <w:rPr>
                <w:rFonts w:hint="eastAsia" w:ascii="仿宋_GB2312" w:eastAsia="仿宋_GB2312"/>
                <w:kern w:val="0"/>
                <w:lang w:val="en-US" w:eastAsia="zh-CN"/>
              </w:rPr>
              <w:t>3、</w:t>
            </w:r>
            <w:r>
              <w:rPr>
                <w:rFonts w:hint="eastAsia" w:ascii="仿宋_GB2312" w:eastAsia="仿宋_GB2312"/>
                <w:kern w:val="0"/>
                <w:lang w:eastAsia="zh-CN"/>
              </w:rPr>
              <w:t>城乡公交低票价及四类人员优免补贴人次</w:t>
            </w:r>
          </w:p>
          <w:p>
            <w:pPr>
              <w:spacing w:line="240" w:lineRule="auto"/>
              <w:jc w:val="both"/>
              <w:rPr>
                <w:rFonts w:hint="eastAsia" w:ascii="仿宋_GB2312" w:eastAsia="仿宋_GB2312"/>
                <w:kern w:val="0"/>
              </w:rPr>
            </w:pPr>
            <w:r>
              <w:rPr>
                <w:rFonts w:hint="eastAsia" w:ascii="仿宋_GB2312" w:eastAsia="仿宋_GB2312"/>
                <w:kern w:val="0"/>
                <w:lang w:val="en-US" w:eastAsia="zh-CN"/>
              </w:rPr>
              <w:t>4、</w:t>
            </w:r>
            <w:r>
              <w:rPr>
                <w:rFonts w:hint="eastAsia" w:ascii="仿宋_GB2312" w:eastAsia="仿宋_GB2312"/>
                <w:kern w:val="0"/>
              </w:rPr>
              <w:t>完成从业人员年度诚信考核</w:t>
            </w:r>
            <w:r>
              <w:rPr>
                <w:rFonts w:hint="eastAsia" w:ascii="仿宋_GB2312" w:eastAsia="仿宋_GB2312"/>
                <w:kern w:val="0"/>
                <w:lang w:eastAsia="zh-CN"/>
              </w:rPr>
              <w:t>、</w:t>
            </w:r>
            <w:r>
              <w:rPr>
                <w:rFonts w:hint="eastAsia" w:ascii="仿宋_GB2312" w:eastAsia="仿宋_GB2312"/>
                <w:kern w:val="0"/>
              </w:rPr>
              <w:t>完成营运客货车年审</w:t>
            </w:r>
            <w:r>
              <w:rPr>
                <w:rFonts w:hint="eastAsia" w:ascii="仿宋_GB2312" w:eastAsia="仿宋_GB2312"/>
                <w:kern w:val="0"/>
                <w:lang w:eastAsia="zh-CN"/>
              </w:rPr>
              <w:t>及</w:t>
            </w:r>
            <w:r>
              <w:rPr>
                <w:rFonts w:hint="eastAsia" w:ascii="仿宋_GB2312" w:eastAsia="仿宋_GB2312"/>
                <w:kern w:val="0"/>
              </w:rPr>
              <w:t>完成运输、维修企业服务质量信誉考核工作</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5、农村公路大中修、小修、水毁、资源产业路</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6、加强治超治限工作</w:t>
            </w:r>
          </w:p>
          <w:p>
            <w:pPr>
              <w:spacing w:line="240" w:lineRule="auto"/>
              <w:jc w:val="both"/>
              <w:rPr>
                <w:rFonts w:hint="eastAsia" w:ascii="仿宋_GB2312" w:eastAsia="仿宋_GB2312"/>
              </w:rPr>
            </w:pPr>
            <w:r>
              <w:rPr>
                <w:rFonts w:hint="eastAsia" w:ascii="仿宋_GB2312" w:eastAsia="仿宋_GB2312"/>
                <w:kern w:val="0"/>
                <w:lang w:val="en-US" w:eastAsia="zh-CN"/>
              </w:rPr>
              <w:t>7、</w:t>
            </w:r>
            <w:r>
              <w:rPr>
                <w:rFonts w:hint="eastAsia" w:ascii="仿宋_GB2312" w:eastAsia="仿宋_GB2312"/>
              </w:rPr>
              <w:t>加强水上安全和环保管理</w:t>
            </w:r>
          </w:p>
          <w:p>
            <w:pPr>
              <w:spacing w:line="240" w:lineRule="auto"/>
              <w:jc w:val="both"/>
              <w:rPr>
                <w:rFonts w:hint="eastAsia" w:ascii="仿宋_GB2312" w:eastAsia="仿宋_GB2312"/>
                <w:lang w:val="en-US" w:eastAsia="zh-CN"/>
              </w:rPr>
            </w:pPr>
          </w:p>
        </w:tc>
        <w:tc>
          <w:tcPr>
            <w:tcW w:w="1298" w:type="dxa"/>
            <w:vAlign w:val="center"/>
          </w:tcPr>
          <w:p>
            <w:pPr>
              <w:numPr>
                <w:ilvl w:val="0"/>
                <w:numId w:val="0"/>
              </w:num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1、铁路沿线安全整治建设</w:t>
            </w:r>
          </w:p>
          <w:p>
            <w:pPr>
              <w:numPr>
                <w:ilvl w:val="0"/>
                <w:numId w:val="0"/>
              </w:num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2、四类人群免费乘车补贴人次</w:t>
            </w:r>
          </w:p>
          <w:p>
            <w:pPr>
              <w:numPr>
                <w:ilvl w:val="0"/>
                <w:numId w:val="0"/>
              </w:num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3、城乡公交四类人群优免补贴人次</w:t>
            </w:r>
          </w:p>
          <w:p>
            <w:pPr>
              <w:spacing w:line="240" w:lineRule="auto"/>
              <w:jc w:val="both"/>
              <w:rPr>
                <w:rFonts w:hint="eastAsia" w:ascii="仿宋_GB2312" w:eastAsia="仿宋_GB2312"/>
                <w:kern w:val="0"/>
              </w:rPr>
            </w:pPr>
            <w:r>
              <w:rPr>
                <w:rFonts w:hint="eastAsia" w:ascii="仿宋_GB2312" w:eastAsia="仿宋_GB2312"/>
                <w:kern w:val="0"/>
                <w:lang w:val="en-US" w:eastAsia="zh-CN"/>
              </w:rPr>
              <w:t>4、</w:t>
            </w:r>
            <w:r>
              <w:rPr>
                <w:rFonts w:hint="eastAsia" w:ascii="仿宋_GB2312" w:eastAsia="仿宋_GB2312"/>
                <w:kern w:val="0"/>
              </w:rPr>
              <w:t>完成从业人员</w:t>
            </w:r>
            <w:r>
              <w:rPr>
                <w:rFonts w:hint="eastAsia" w:ascii="仿宋_GB2312" w:eastAsia="仿宋_GB2312"/>
                <w:kern w:val="0"/>
                <w:lang w:val="en-US" w:eastAsia="zh-CN"/>
              </w:rPr>
              <w:t>1000人</w:t>
            </w:r>
            <w:r>
              <w:rPr>
                <w:rFonts w:hint="eastAsia" w:ascii="仿宋_GB2312" w:eastAsia="仿宋_GB2312"/>
                <w:kern w:val="0"/>
              </w:rPr>
              <w:t>年度诚信考核</w:t>
            </w:r>
            <w:r>
              <w:rPr>
                <w:rFonts w:hint="eastAsia" w:ascii="仿宋_GB2312" w:eastAsia="仿宋_GB2312"/>
                <w:kern w:val="0"/>
                <w:lang w:eastAsia="zh-CN"/>
              </w:rPr>
              <w:t>、</w:t>
            </w:r>
            <w:r>
              <w:rPr>
                <w:rFonts w:hint="eastAsia" w:ascii="仿宋_GB2312" w:eastAsia="仿宋_GB2312"/>
                <w:kern w:val="0"/>
              </w:rPr>
              <w:t>733台营运客货车年审</w:t>
            </w:r>
            <w:r>
              <w:rPr>
                <w:rFonts w:hint="eastAsia" w:ascii="仿宋_GB2312" w:eastAsia="仿宋_GB2312"/>
                <w:kern w:val="0"/>
                <w:lang w:eastAsia="zh-CN"/>
              </w:rPr>
              <w:t>、</w:t>
            </w:r>
            <w:r>
              <w:rPr>
                <w:rFonts w:hint="eastAsia" w:ascii="仿宋_GB2312" w:eastAsia="仿宋_GB2312"/>
                <w:kern w:val="0"/>
              </w:rPr>
              <w:t>36家运输、维修企业服务质量信誉考核工作</w:t>
            </w:r>
          </w:p>
          <w:p>
            <w:pPr>
              <w:numPr>
                <w:ilvl w:val="0"/>
                <w:numId w:val="0"/>
              </w:numPr>
              <w:spacing w:line="240" w:lineRule="auto"/>
              <w:jc w:val="both"/>
              <w:rPr>
                <w:rFonts w:hint="eastAsia" w:ascii="仿宋_GB2312" w:hAnsi="宋体" w:eastAsia="仿宋_GB2312" w:cs="宋体"/>
                <w:kern w:val="0"/>
              </w:rPr>
            </w:pPr>
            <w:r>
              <w:rPr>
                <w:rFonts w:hint="eastAsia" w:ascii="仿宋_GB2312" w:eastAsia="仿宋_GB2312"/>
                <w:kern w:val="0"/>
                <w:lang w:val="en-US" w:eastAsia="zh-CN"/>
              </w:rPr>
              <w:t>5、完成</w:t>
            </w:r>
            <w:r>
              <w:rPr>
                <w:rFonts w:hint="eastAsia" w:ascii="仿宋_GB2312" w:hAnsi="宋体" w:eastAsia="仿宋_GB2312" w:cs="宋体"/>
                <w:kern w:val="0"/>
              </w:rPr>
              <w:t xml:space="preserve">大中修51.3公里 </w:t>
            </w:r>
            <w:r>
              <w:rPr>
                <w:rFonts w:hint="eastAsia" w:ascii="仿宋_GB2312" w:hAnsi="宋体" w:eastAsia="仿宋_GB2312" w:cs="宋体"/>
                <w:kern w:val="0"/>
                <w:lang w:eastAsia="zh-CN"/>
              </w:rPr>
              <w:t>、</w:t>
            </w:r>
            <w:r>
              <w:rPr>
                <w:rFonts w:hint="eastAsia" w:ascii="仿宋_GB2312" w:hAnsi="宋体" w:eastAsia="仿宋_GB2312" w:cs="宋体"/>
                <w:kern w:val="0"/>
              </w:rPr>
              <w:t>小修保养2809.55公里</w:t>
            </w:r>
            <w:r>
              <w:rPr>
                <w:rFonts w:hint="eastAsia" w:ascii="仿宋_GB2312" w:hAnsi="宋体" w:eastAsia="仿宋_GB2312" w:cs="宋体"/>
                <w:kern w:val="0"/>
                <w:lang w:eastAsia="zh-CN"/>
              </w:rPr>
              <w:t>、</w:t>
            </w:r>
            <w:r>
              <w:rPr>
                <w:rFonts w:hint="eastAsia" w:ascii="仿宋_GB2312" w:hAnsi="宋体" w:eastAsia="仿宋_GB2312" w:cs="宋体"/>
                <w:kern w:val="0"/>
              </w:rPr>
              <w:t>资源产业路159.</w:t>
            </w:r>
            <w:r>
              <w:rPr>
                <w:rFonts w:hint="eastAsia" w:ascii="仿宋_GB2312" w:hAnsi="宋体" w:eastAsia="仿宋_GB2312" w:cs="宋体"/>
                <w:kern w:val="0"/>
                <w:lang w:val="en-US" w:eastAsia="zh-CN"/>
              </w:rPr>
              <w:t>9</w:t>
            </w:r>
            <w:r>
              <w:rPr>
                <w:rFonts w:hint="eastAsia" w:ascii="仿宋_GB2312" w:hAnsi="宋体" w:eastAsia="仿宋_GB2312" w:cs="宋体"/>
                <w:kern w:val="0"/>
              </w:rPr>
              <w:t>公里</w:t>
            </w:r>
          </w:p>
          <w:p>
            <w:pPr>
              <w:numPr>
                <w:ilvl w:val="0"/>
                <w:numId w:val="0"/>
              </w:numPr>
              <w:spacing w:line="240" w:lineRule="auto"/>
              <w:jc w:val="both"/>
              <w:rPr>
                <w:rFonts w:hint="eastAsia" w:ascii="仿宋_GB2312" w:hAnsi="宋体" w:eastAsia="仿宋_GB2312" w:cs="宋体"/>
                <w:kern w:val="0"/>
                <w:sz w:val="16"/>
                <w:szCs w:val="16"/>
                <w:lang w:val="en-US" w:eastAsia="zh-CN"/>
              </w:rPr>
            </w:pPr>
            <w:r>
              <w:rPr>
                <w:rFonts w:hint="eastAsia" w:ascii="仿宋_GB2312" w:hAnsi="宋体" w:eastAsia="仿宋_GB2312" w:cs="宋体"/>
                <w:kern w:val="0"/>
                <w:lang w:val="en-US" w:eastAsia="zh-CN"/>
              </w:rPr>
              <w:t>6、</w:t>
            </w:r>
            <w:r>
              <w:rPr>
                <w:rFonts w:hint="eastAsia" w:ascii="仿宋_GB2312" w:hAnsi="宋体" w:eastAsia="仿宋_GB2312" w:cs="宋体"/>
                <w:kern w:val="0"/>
                <w:sz w:val="16"/>
                <w:szCs w:val="16"/>
                <w:lang w:eastAsia="zh-CN"/>
              </w:rPr>
              <w:t>全年开展各类治超专项整治工作》</w:t>
            </w:r>
            <w:r>
              <w:rPr>
                <w:rFonts w:hint="eastAsia" w:ascii="仿宋_GB2312" w:hAnsi="宋体" w:eastAsia="仿宋_GB2312" w:cs="宋体"/>
                <w:kern w:val="0"/>
                <w:sz w:val="16"/>
                <w:szCs w:val="16"/>
                <w:lang w:val="en-US" w:eastAsia="zh-CN"/>
              </w:rPr>
              <w:t>8次、</w:t>
            </w:r>
            <w:r>
              <w:rPr>
                <w:rFonts w:hint="eastAsia" w:ascii="仿宋_GB2312" w:hAnsi="宋体" w:eastAsia="仿宋_GB2312" w:cs="宋体"/>
                <w:kern w:val="0"/>
                <w:sz w:val="16"/>
                <w:szCs w:val="16"/>
                <w:lang w:eastAsia="zh-CN"/>
              </w:rPr>
              <w:t>发现的重大隐患督促整改、跟踪督办率达</w:t>
            </w:r>
            <w:r>
              <w:rPr>
                <w:rFonts w:hint="eastAsia" w:ascii="仿宋_GB2312" w:hAnsi="宋体" w:eastAsia="仿宋_GB2312" w:cs="宋体"/>
                <w:kern w:val="0"/>
                <w:sz w:val="16"/>
                <w:szCs w:val="16"/>
                <w:lang w:val="en-US" w:eastAsia="zh-CN"/>
              </w:rPr>
              <w:t>100%</w:t>
            </w:r>
          </w:p>
          <w:p>
            <w:pPr>
              <w:numPr>
                <w:ilvl w:val="0"/>
                <w:numId w:val="0"/>
              </w:numPr>
              <w:spacing w:line="240" w:lineRule="auto"/>
              <w:jc w:val="both"/>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7、</w:t>
            </w:r>
            <w:r>
              <w:rPr>
                <w:rFonts w:hint="eastAsia" w:ascii="仿宋_GB2312" w:hAnsi="宋体" w:eastAsia="仿宋_GB2312" w:cs="宋体"/>
              </w:rPr>
              <w:t>在营田码头至高台码头水域内</w:t>
            </w:r>
            <w:r>
              <w:rPr>
                <w:rFonts w:ascii="仿宋_GB2312" w:hAnsi="宋体" w:eastAsia="仿宋_GB2312" w:cs="宋体"/>
              </w:rPr>
              <w:t>27.6</w:t>
            </w:r>
            <w:r>
              <w:rPr>
                <w:rFonts w:hint="eastAsia" w:ascii="仿宋_GB2312" w:hAnsi="宋体" w:eastAsia="仿宋_GB2312" w:cs="宋体"/>
              </w:rPr>
              <w:t>公里</w:t>
            </w:r>
            <w:r>
              <w:rPr>
                <w:rFonts w:hint="eastAsia" w:ascii="仿宋_GB2312" w:hAnsi="宋体" w:eastAsia="仿宋_GB2312" w:cs="宋体"/>
                <w:lang w:eastAsia="zh-CN"/>
              </w:rPr>
              <w:t>，</w:t>
            </w:r>
            <w:r>
              <w:rPr>
                <w:rFonts w:hint="eastAsia" w:ascii="仿宋_GB2312" w:hAnsi="宋体" w:eastAsia="仿宋_GB2312" w:cs="宋体"/>
              </w:rPr>
              <w:t>确保水上</w:t>
            </w:r>
            <w:r>
              <w:rPr>
                <w:rFonts w:hint="eastAsia" w:ascii="仿宋_GB2312" w:hAnsi="宋体" w:eastAsia="仿宋_GB2312" w:cs="宋体"/>
                <w:lang w:eastAsia="zh-CN"/>
              </w:rPr>
              <w:t>安全</w:t>
            </w:r>
            <w:r>
              <w:rPr>
                <w:rFonts w:hint="eastAsia" w:ascii="仿宋_GB2312" w:hAnsi="宋体" w:eastAsia="仿宋_GB2312" w:cs="宋体"/>
              </w:rPr>
              <w:t>环保</w:t>
            </w:r>
            <w:r>
              <w:rPr>
                <w:rFonts w:hint="eastAsia" w:ascii="仿宋_GB2312" w:hAnsi="宋体" w:eastAsia="仿宋_GB2312" w:cs="宋体"/>
                <w:lang w:eastAsia="zh-CN"/>
              </w:rPr>
              <w:t>。</w:t>
            </w:r>
          </w:p>
        </w:tc>
        <w:tc>
          <w:tcPr>
            <w:tcW w:w="1269" w:type="dxa"/>
            <w:vAlign w:val="center"/>
          </w:tcPr>
          <w:p>
            <w:pPr>
              <w:spacing w:line="240" w:lineRule="auto"/>
              <w:jc w:val="both"/>
              <w:rPr>
                <w:rFonts w:ascii="仿宋_GB2312" w:eastAsia="仿宋_GB2312"/>
                <w:kern w:val="0"/>
              </w:rPr>
            </w:pPr>
            <w:r>
              <w:rPr>
                <w:rFonts w:hint="eastAsia" w:ascii="仿宋_GB2312" w:eastAsia="仿宋_GB2312"/>
              </w:rPr>
              <w:t>各项任务</w:t>
            </w:r>
            <w:r>
              <w:rPr>
                <w:rFonts w:ascii="仿宋_GB2312" w:eastAsia="仿宋_GB2312"/>
              </w:rPr>
              <w:t>100%</w:t>
            </w:r>
            <w:r>
              <w:rPr>
                <w:rFonts w:hint="eastAsia" w:ascii="仿宋_GB2312" w:eastAsia="仿宋_GB2312"/>
              </w:rPr>
              <w:t>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各项目按质按量达标率</w:t>
            </w:r>
          </w:p>
        </w:tc>
        <w:tc>
          <w:tcPr>
            <w:tcW w:w="1298"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2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完成年内目标任务</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仿宋_GB2312" w:eastAsia="仿宋_GB2312"/>
              </w:rPr>
              <w:t>202</w:t>
            </w:r>
            <w:r>
              <w:rPr>
                <w:rFonts w:hint="eastAsia" w:ascii="仿宋_GB2312" w:eastAsia="仿宋_GB2312"/>
                <w:lang w:eastAsia="zh-CN"/>
              </w:rPr>
              <w:t>2</w:t>
            </w:r>
            <w:r>
              <w:rPr>
                <w:rFonts w:hint="eastAsia" w:ascii="仿宋_GB2312" w:eastAsia="仿宋_GB2312"/>
              </w:rPr>
              <w:t>年度内按时完成</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按时完成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促进经济发展和民生改善</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促进经济发展和民生改善</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确保客货运输畅通</w:t>
            </w:r>
          </w:p>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2.确保行业安全稳定</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对社会有益</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推动交通绿色、低碳发展</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不破坏生态</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推动我市交通高质量发展</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有可持续性影响</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2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95%</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rPr>
              <w:t>在预算范围内、厉行节约</w:t>
            </w:r>
          </w:p>
        </w:tc>
        <w:tc>
          <w:tcPr>
            <w:tcW w:w="1298"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控制在预算范围内</w:t>
            </w:r>
          </w:p>
        </w:tc>
        <w:tc>
          <w:tcPr>
            <w:tcW w:w="12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预算资金使用率100%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确保客货运输畅通</w:t>
            </w:r>
          </w:p>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2.确保行业安全稳定</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对社会有益</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推动交通绿色、低碳发展</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不破坏生态</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曾鑫蕾</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5256330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铁路沿线安全环境隐患整治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目标1：完成人行通道平改立，同时完成全线防护栅封闭。</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目标2：铁路用地（红线外）环境污染治理和铁路沿线安全环境整治。</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目标3:铁路道口安全和铁路运输安全管理，加强保障铁路安全教育，加强铁路专用线铁路道口安全防护设施风险管理和隐患排查整治等。</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目标4：完成铁路安全管理条例制定，形成长效机制。</w:t>
            </w:r>
          </w:p>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 xml:space="preserve">1、川山坪镇K1530+896平交道口改立交工程                         </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 xml:space="preserve">2、川山坪镇K1530+905处铁路涵洞建设                              </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 xml:space="preserve">3、K1486+200、K1506+030、K1505+620 3处栅栏缺口整改        </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4、铁路铁路道口安全和铁路运输安全管理培训1次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numPr>
                <w:ilvl w:val="0"/>
                <w:numId w:val="0"/>
              </w:numPr>
              <w:spacing w:line="240" w:lineRule="auto"/>
              <w:jc w:val="both"/>
              <w:rPr>
                <w:rFonts w:hint="eastAsia" w:ascii="仿宋_GB2312" w:eastAsia="仿宋_GB2312"/>
                <w:kern w:val="0"/>
              </w:rPr>
            </w:pPr>
            <w:r>
              <w:rPr>
                <w:rFonts w:hint="eastAsia" w:ascii="仿宋_GB2312" w:eastAsia="仿宋_GB2312"/>
                <w:kern w:val="0"/>
                <w:lang w:eastAsia="zh-CN"/>
              </w:rPr>
              <w:t>铁路沿线安全环境的整治</w:t>
            </w:r>
          </w:p>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numPr>
                <w:ilvl w:val="0"/>
                <w:numId w:val="0"/>
              </w:num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铁路沿线安全整治建设工作</w:t>
            </w:r>
          </w:p>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完成</w:t>
            </w:r>
            <w:r>
              <w:rPr>
                <w:rFonts w:hint="eastAsia" w:ascii="仿宋_GB2312" w:hAnsi="宋体" w:eastAsia="仿宋_GB2312" w:cs="宋体"/>
                <w:kern w:val="0"/>
                <w:lang w:val="en-US" w:eastAsia="zh-CN"/>
              </w:rPr>
              <w:t>1个</w:t>
            </w:r>
            <w:r>
              <w:rPr>
                <w:rFonts w:hint="eastAsia" w:ascii="仿宋_GB2312" w:hAnsi="宋体" w:eastAsia="仿宋_GB2312" w:cs="宋体"/>
                <w:kern w:val="0"/>
              </w:rPr>
              <w:t>平改立建设</w:t>
            </w: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3个防护栅栏封闭、1个铁路涵洞建设、开展1次铁路安全培训</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left"/>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确保铁路沿线安全</w:t>
            </w:r>
          </w:p>
        </w:tc>
        <w:tc>
          <w:tcPr>
            <w:tcW w:w="1099" w:type="dxa"/>
            <w:vAlign w:val="center"/>
          </w:tcPr>
          <w:p>
            <w:pPr>
              <w:tabs>
                <w:tab w:val="left" w:pos="735"/>
              </w:tabs>
              <w:spacing w:line="240" w:lineRule="auto"/>
              <w:jc w:val="left"/>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确保铁路沿线安全</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完成年内目标任务</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ascii="仿宋_GB2312" w:eastAsia="仿宋_GB2312"/>
              </w:rPr>
              <w:t>202</w:t>
            </w:r>
            <w:r>
              <w:rPr>
                <w:rFonts w:hint="eastAsia" w:ascii="仿宋_GB2312" w:eastAsia="仿宋_GB2312"/>
                <w:lang w:eastAsia="zh-CN"/>
              </w:rPr>
              <w:t>2</w:t>
            </w:r>
            <w:r>
              <w:rPr>
                <w:rFonts w:hint="eastAsia" w:ascii="仿宋_GB2312" w:eastAsia="仿宋_GB2312"/>
              </w:rPr>
              <w:t>年度内按时完成</w:t>
            </w:r>
          </w:p>
        </w:tc>
        <w:tc>
          <w:tcPr>
            <w:tcW w:w="1099"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按时完成</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提升铁路运行效率，加快经济建设</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促进经济发展</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提升铁路运行效率，加快经济建设</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提升沿线人民群众维护铁路运行安全意识，确保人民群众生命财产安全。</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提升沿线人民群众维护铁路运行安全意识，确保人民群众生命财产安全。</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对生态环境是否有负面影响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不破坏铁路沿线生态平衡</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未对铁路沿线生态造成破坏</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是否有可持续性影响</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有可持续性影响</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保障铁路沿线安全，有可持续性影响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控制在预算范围内</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100万元</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100万元</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提升沿线人民群众维护铁路运行安全意识，确保人民群众生命财产安全。</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提升沿线人民群众维护铁路运行安全意识，确保人民群众生命财产安全。</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对生态环境是否有负面影响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不破坏铁路沿线生态平衡</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未对铁路沿线生态造成破坏</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填表人：曾鑫蕾</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5256330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jc w:val="center"/>
        <w:rPr>
          <w:rFonts w:hint="eastAsia" w:ascii="仿宋_GB2312" w:hAnsi="宋体" w:eastAsia="仿宋_GB2312" w:cs="宋体"/>
          <w:kern w:val="0"/>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四类人群免费乘车补贴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汨罗市晟瑞公共交通有限责任公司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359.59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159.59</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对全市65岁以上老年人、残疾人等特殊人群实行不限次数免费乘车及中小学生实行半价优惠乘车。</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四类人群补贴车辆</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91台</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91台</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四类人群免费乘车</w:t>
            </w:r>
            <w:r>
              <w:rPr>
                <w:rFonts w:hint="eastAsia" w:ascii="仿宋_GB2312" w:hAnsi="宋体" w:eastAsia="仿宋_GB2312" w:cs="宋体"/>
                <w:kern w:val="0"/>
                <w:lang w:eastAsia="zh-CN"/>
              </w:rPr>
              <w:t>人次</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按实际乘车人次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老年人免费车1640626人次；残疾人免费乘车157327人次。</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以上项目按质按量达标率</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四类人群免费乘车按期完成率</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2022年内完成</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对全市65岁以上老年人、残疾人等特殊人群实行不限次数免费乘车及中小学生实行半价优惠乘车。促进经济平稳运行</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促进经济平稳运行</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惠民政策，促进社会稳定</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公交线路环保普及率，未对生态环境造成负面影响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未对生态环境造成负面影响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91台纯电动车，未对生态环境造成负面影响</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是否有可持续性影响</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有可持续性影响</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惠民项目，有可持续性影响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95%</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2022年1月-12月老年人</w:t>
            </w:r>
            <w:r>
              <w:rPr>
                <w:rFonts w:hint="eastAsia" w:ascii="仿宋_GB2312" w:hAnsi="宋体" w:eastAsia="仿宋_GB2312" w:cs="宋体"/>
                <w:kern w:val="0"/>
                <w:lang w:eastAsia="zh-CN"/>
              </w:rPr>
              <w:t>、残疾人</w:t>
            </w:r>
            <w:r>
              <w:rPr>
                <w:rFonts w:hint="eastAsia" w:ascii="仿宋_GB2312" w:hAnsi="宋体" w:eastAsia="仿宋_GB2312" w:cs="宋体"/>
                <w:kern w:val="0"/>
              </w:rPr>
              <w:t>实际免费乘车次数</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按实际乘车人次据实补贴</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老年人补贴3281252元、残疾人补贴314654元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公交线路环保普及率，未对生态环境造成负面影响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未对生态环境造成负面影响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91台纯电动车，未对生态环境造成负面影响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填表人：谢勇辉</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13808402836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250"/>
        <w:gridCol w:w="948"/>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城乡公交低票价及四类人员优免补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47"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94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湖南众捷汽车运输有限责任公司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4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250" w:type="dxa"/>
            <w:vAlign w:val="center"/>
          </w:tcPr>
          <w:p>
            <w:pPr>
              <w:spacing w:line="240" w:lineRule="auto"/>
              <w:ind w:firstLine="420"/>
              <w:jc w:val="center"/>
              <w:rPr>
                <w:rFonts w:ascii="仿宋_GB2312" w:hAnsi="宋体" w:eastAsia="仿宋_GB2312" w:cs="宋体"/>
                <w:kern w:val="0"/>
                <w:lang w:eastAsia="zh-CN"/>
              </w:rPr>
            </w:pP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698.28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250" w:type="dxa"/>
            <w:vAlign w:val="center"/>
          </w:tcPr>
          <w:p>
            <w:pPr>
              <w:spacing w:line="240" w:lineRule="auto"/>
              <w:ind w:firstLine="420"/>
              <w:jc w:val="center"/>
              <w:rPr>
                <w:rFonts w:ascii="仿宋_GB2312" w:hAnsi="宋体" w:eastAsia="仿宋_GB2312" w:cs="宋体"/>
                <w:kern w:val="0"/>
                <w:lang w:eastAsia="zh-CN"/>
              </w:rPr>
            </w:pP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250" w:type="dxa"/>
            <w:vAlign w:val="center"/>
          </w:tcPr>
          <w:p>
            <w:pPr>
              <w:spacing w:line="240" w:lineRule="auto"/>
              <w:ind w:firstLine="420"/>
              <w:jc w:val="center"/>
              <w:rPr>
                <w:rFonts w:ascii="仿宋_GB2312" w:hAnsi="宋体" w:eastAsia="仿宋_GB2312" w:cs="宋体"/>
                <w:kern w:val="0"/>
                <w:lang w:eastAsia="zh-CN"/>
              </w:rPr>
            </w:pPr>
          </w:p>
        </w:tc>
        <w:tc>
          <w:tcPr>
            <w:tcW w:w="948"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398.28</w:t>
            </w:r>
          </w:p>
        </w:tc>
        <w:tc>
          <w:tcPr>
            <w:tcW w:w="1250" w:type="dxa"/>
            <w:vAlign w:val="center"/>
          </w:tcPr>
          <w:p>
            <w:pPr>
              <w:spacing w:line="240" w:lineRule="auto"/>
              <w:ind w:firstLine="420"/>
              <w:jc w:val="center"/>
              <w:rPr>
                <w:rFonts w:ascii="仿宋_GB2312" w:hAnsi="宋体" w:eastAsia="仿宋_GB2312" w:cs="宋体"/>
                <w:kern w:val="0"/>
              </w:rPr>
            </w:pP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398.28</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47"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98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547" w:type="dxa"/>
            <w:gridSpan w:val="4"/>
            <w:vAlign w:val="center"/>
          </w:tcPr>
          <w:p>
            <w:pPr>
              <w:spacing w:line="240" w:lineRule="auto"/>
              <w:ind w:firstLine="420"/>
              <w:jc w:val="center"/>
              <w:rPr>
                <w:rFonts w:ascii="仿宋_GB2312" w:hAnsi="宋体" w:eastAsia="仿宋_GB2312" w:cs="宋体"/>
                <w:kern w:val="0"/>
              </w:rPr>
            </w:pPr>
          </w:p>
        </w:tc>
        <w:tc>
          <w:tcPr>
            <w:tcW w:w="3989"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2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9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城乡公交运营车辆台数</w:t>
            </w:r>
          </w:p>
        </w:tc>
        <w:tc>
          <w:tcPr>
            <w:tcW w:w="125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80台</w:t>
            </w: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80台</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城乡公交运营车辆日发班次数</w:t>
            </w:r>
          </w:p>
        </w:tc>
        <w:tc>
          <w:tcPr>
            <w:tcW w:w="12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163班次</w:t>
            </w: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163班次</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方正仿宋_GB2312" w:hAnsi="方正仿宋_GB2312" w:eastAsia="方正仿宋_GB2312" w:cs="方正仿宋_GB2312"/>
                <w:kern w:val="0"/>
              </w:rPr>
            </w:pPr>
          </w:p>
          <w:p>
            <w:pPr>
              <w:bidi w:val="0"/>
              <w:jc w:val="left"/>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en-US" w:bidi="ar-SA"/>
              </w:rPr>
              <w:t>村镇线路覆盖率</w:t>
            </w:r>
            <w:r>
              <w:rPr>
                <w:rFonts w:hint="eastAsia" w:ascii="方正仿宋_GB2312" w:hAnsi="方正仿宋_GB2312" w:eastAsia="方正仿宋_GB2312" w:cs="方正仿宋_GB2312"/>
                <w:snapToGrid w:val="0"/>
                <w:color w:val="000000"/>
                <w:kern w:val="0"/>
                <w:sz w:val="21"/>
                <w:szCs w:val="21"/>
                <w:lang w:val="en-US" w:eastAsia="zh-CN" w:bidi="ar-SA"/>
              </w:rPr>
              <w:t>、公车公营率</w:t>
            </w:r>
          </w:p>
        </w:tc>
        <w:tc>
          <w:tcPr>
            <w:tcW w:w="1250"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94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80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4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四类人群免费乘车按期完成率</w:t>
            </w:r>
          </w:p>
        </w:tc>
        <w:tc>
          <w:tcPr>
            <w:tcW w:w="1250"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2022年内完成</w:t>
            </w:r>
          </w:p>
        </w:tc>
        <w:tc>
          <w:tcPr>
            <w:tcW w:w="948"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实行2、4、6阶梯票价、四类人群优免票，促进经济平稳运行</w:t>
            </w:r>
          </w:p>
        </w:tc>
        <w:tc>
          <w:tcPr>
            <w:tcW w:w="125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促进经济平稳运行</w:t>
            </w:r>
          </w:p>
        </w:tc>
        <w:tc>
          <w:tcPr>
            <w:tcW w:w="948"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解决了城乡居民“出行难”问题，推动城乡融合发展</w:t>
            </w:r>
          </w:p>
        </w:tc>
        <w:tc>
          <w:tcPr>
            <w:tcW w:w="125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公交线路环保普及率，未对生态环境造成负面影响</w:t>
            </w:r>
          </w:p>
        </w:tc>
        <w:tc>
          <w:tcPr>
            <w:tcW w:w="125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未对生态环境造成负面影响</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80</w:t>
            </w:r>
            <w:r>
              <w:rPr>
                <w:rFonts w:hint="eastAsia" w:ascii="仿宋_GB2312" w:hAnsi="宋体" w:eastAsia="仿宋_GB2312" w:cs="宋体"/>
                <w:kern w:val="0"/>
              </w:rPr>
              <w:t>台纯电动车，未对生态环境造成负面影响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是否有可持续性影响</w:t>
            </w:r>
          </w:p>
        </w:tc>
        <w:tc>
          <w:tcPr>
            <w:tcW w:w="125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有可持续性影响</w:t>
            </w:r>
          </w:p>
        </w:tc>
        <w:tc>
          <w:tcPr>
            <w:tcW w:w="948"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惠民项目，有可持续性影响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25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948"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95%</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驾驶员工资</w:t>
            </w:r>
            <w:r>
              <w:rPr>
                <w:rFonts w:hint="eastAsia" w:ascii="仿宋_GB2312" w:hAnsi="宋体" w:eastAsia="仿宋_GB2312" w:cs="宋体"/>
                <w:kern w:val="0"/>
                <w:lang w:eastAsia="zh-CN"/>
              </w:rPr>
              <w:t>、车辆保险、充电桩电费及服务费等</w:t>
            </w:r>
          </w:p>
        </w:tc>
        <w:tc>
          <w:tcPr>
            <w:tcW w:w="125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控制在预算范围</w:t>
            </w:r>
            <w:r>
              <w:rPr>
                <w:rFonts w:hint="eastAsia" w:ascii="仿宋_GB2312" w:hAnsi="宋体" w:eastAsia="仿宋_GB2312" w:cs="宋体"/>
                <w:kern w:val="0"/>
                <w:lang w:val="en-US" w:eastAsia="zh-CN"/>
              </w:rPr>
              <w:t>300万元</w:t>
            </w:r>
          </w:p>
        </w:tc>
        <w:tc>
          <w:tcPr>
            <w:tcW w:w="948"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w:t>
            </w:r>
            <w:r>
              <w:rPr>
                <w:rFonts w:hint="eastAsia" w:ascii="仿宋_GB2312" w:hAnsi="宋体" w:eastAsia="仿宋_GB2312" w:cs="宋体"/>
                <w:kern w:val="0"/>
                <w:lang w:eastAsia="zh-CN"/>
              </w:rPr>
              <w:t>驾驶员工资</w:t>
            </w:r>
            <w:r>
              <w:rPr>
                <w:rFonts w:hint="eastAsia" w:ascii="仿宋_GB2312" w:hAnsi="宋体" w:eastAsia="仿宋_GB2312" w:cs="宋体"/>
                <w:kern w:val="0"/>
                <w:lang w:val="en-US" w:eastAsia="zh-CN"/>
              </w:rPr>
              <w:t>407.28万元；车辆保险67.66万元；充电桩电费及服务费223.34万元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both"/>
              <w:rPr>
                <w:rFonts w:hint="default"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解决了城乡居民“出行难”问题，推动城乡融合发展</w:t>
            </w:r>
          </w:p>
        </w:tc>
        <w:tc>
          <w:tcPr>
            <w:tcW w:w="125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公交线路环保普及率，未对生态环境造成负面影响</w:t>
            </w:r>
          </w:p>
        </w:tc>
        <w:tc>
          <w:tcPr>
            <w:tcW w:w="125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未对生态环境造成负面影响</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80</w:t>
            </w:r>
            <w:r>
              <w:rPr>
                <w:rFonts w:hint="eastAsia" w:ascii="仿宋_GB2312" w:hAnsi="宋体" w:eastAsia="仿宋_GB2312" w:cs="宋体"/>
                <w:kern w:val="0"/>
              </w:rPr>
              <w:t>台纯电动车，未对生态环境造成负面影响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彭志红</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13574010066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110"/>
        <w:gridCol w:w="1337"/>
        <w:gridCol w:w="1123"/>
        <w:gridCol w:w="996"/>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8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70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农村公路养护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6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汨罗市交通局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汨罗市农村公路养护中心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8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447" w:type="dxa"/>
            <w:gridSpan w:val="2"/>
            <w:vAlign w:val="center"/>
          </w:tcPr>
          <w:p>
            <w:pPr>
              <w:spacing w:line="240" w:lineRule="auto"/>
              <w:ind w:firstLine="420"/>
              <w:jc w:val="center"/>
              <w:rPr>
                <w:rFonts w:ascii="仿宋_GB2312" w:hAnsi="宋体" w:eastAsia="仿宋_GB2312" w:cs="宋体"/>
                <w:kern w:val="0"/>
                <w:lang w:eastAsia="zh-CN"/>
              </w:rPr>
            </w:pPr>
          </w:p>
        </w:tc>
        <w:tc>
          <w:tcPr>
            <w:tcW w:w="11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96"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8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44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2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556</w:t>
            </w:r>
          </w:p>
        </w:tc>
        <w:tc>
          <w:tcPr>
            <w:tcW w:w="996"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6278.2</w:t>
            </w:r>
          </w:p>
        </w:tc>
        <w:tc>
          <w:tcPr>
            <w:tcW w:w="109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6278.2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44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2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556</w:t>
            </w:r>
          </w:p>
        </w:tc>
        <w:tc>
          <w:tcPr>
            <w:tcW w:w="996"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6278.2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6278.2</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44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23" w:type="dxa"/>
            <w:vAlign w:val="center"/>
          </w:tcPr>
          <w:p>
            <w:pPr>
              <w:spacing w:line="240" w:lineRule="auto"/>
              <w:ind w:firstLine="420"/>
              <w:jc w:val="center"/>
              <w:rPr>
                <w:rFonts w:ascii="仿宋_GB2312" w:hAnsi="宋体" w:eastAsia="仿宋_GB2312" w:cs="宋体"/>
                <w:kern w:val="0"/>
                <w:lang w:eastAsia="zh-CN"/>
              </w:rPr>
            </w:pPr>
          </w:p>
        </w:tc>
        <w:tc>
          <w:tcPr>
            <w:tcW w:w="996"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44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123" w:type="dxa"/>
            <w:vAlign w:val="center"/>
          </w:tcPr>
          <w:p>
            <w:pPr>
              <w:spacing w:line="240" w:lineRule="auto"/>
              <w:ind w:firstLine="420"/>
              <w:jc w:val="center"/>
              <w:rPr>
                <w:rFonts w:ascii="仿宋_GB2312" w:hAnsi="宋体" w:eastAsia="仿宋_GB2312" w:cs="宋体"/>
                <w:kern w:val="0"/>
              </w:rPr>
            </w:pPr>
          </w:p>
        </w:tc>
        <w:tc>
          <w:tcPr>
            <w:tcW w:w="996"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88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6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56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1、大中修51.3公里 2、小修保养2809.55公里 3、资源产业路159.</w:t>
            </w:r>
            <w:r>
              <w:rPr>
                <w:rFonts w:hint="eastAsia" w:ascii="仿宋_GB2312" w:hAnsi="宋体" w:eastAsia="仿宋_GB2312" w:cs="宋体"/>
                <w:kern w:val="0"/>
                <w:lang w:val="en-US" w:eastAsia="zh-CN"/>
              </w:rPr>
              <w:t>9</w:t>
            </w:r>
            <w:r>
              <w:rPr>
                <w:rFonts w:hint="eastAsia" w:ascii="仿宋_GB2312" w:hAnsi="宋体" w:eastAsia="仿宋_GB2312" w:cs="宋体"/>
                <w:kern w:val="0"/>
              </w:rPr>
              <w:t>公里</w:t>
            </w:r>
            <w:r>
              <w:rPr>
                <w:rFonts w:hint="eastAsia" w:ascii="仿宋_GB2312" w:hAnsi="宋体" w:eastAsia="仿宋_GB2312" w:cs="宋体"/>
                <w:kern w:val="0"/>
                <w:lang w:eastAsia="zh-CN"/>
              </w:rPr>
              <w:t>。</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全部按目标完成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8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11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33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12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9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11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337"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大中修</w:t>
            </w:r>
          </w:p>
        </w:tc>
        <w:tc>
          <w:tcPr>
            <w:tcW w:w="996"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16</w:t>
            </w:r>
          </w:p>
        </w:tc>
        <w:tc>
          <w:tcPr>
            <w:tcW w:w="1099" w:type="dxa"/>
            <w:vAlign w:val="center"/>
          </w:tcPr>
          <w:p>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16</w:t>
            </w:r>
          </w:p>
        </w:tc>
        <w:tc>
          <w:tcPr>
            <w:tcW w:w="809" w:type="dxa"/>
            <w:vMerge w:val="restart"/>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Merge w:val="restart"/>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小修保养</w:t>
            </w:r>
          </w:p>
        </w:tc>
        <w:tc>
          <w:tcPr>
            <w:tcW w:w="996"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2112.6</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2112.6</w:t>
            </w:r>
          </w:p>
        </w:tc>
        <w:tc>
          <w:tcPr>
            <w:tcW w:w="809" w:type="dxa"/>
            <w:vMerge w:val="continue"/>
            <w:vAlign w:val="center"/>
          </w:tcPr>
          <w:p>
            <w:pPr>
              <w:spacing w:line="240" w:lineRule="auto"/>
              <w:ind w:firstLine="420"/>
              <w:jc w:val="both"/>
              <w:rPr>
                <w:rFonts w:ascii="仿宋_GB2312" w:hAnsi="宋体" w:eastAsia="仿宋_GB2312" w:cs="宋体"/>
                <w:kern w:val="0"/>
              </w:rPr>
            </w:pPr>
          </w:p>
        </w:tc>
        <w:tc>
          <w:tcPr>
            <w:tcW w:w="849" w:type="dxa"/>
            <w:vMerge w:val="continue"/>
            <w:vAlign w:val="center"/>
          </w:tcPr>
          <w:p>
            <w:pPr>
              <w:spacing w:line="240" w:lineRule="auto"/>
              <w:ind w:firstLine="420"/>
              <w:jc w:val="both"/>
              <w:rPr>
                <w:rFonts w:ascii="仿宋_GB2312" w:hAnsi="宋体" w:eastAsia="仿宋_GB2312" w:cs="宋体"/>
                <w:kern w:val="0"/>
              </w:rPr>
            </w:pPr>
          </w:p>
        </w:tc>
        <w:tc>
          <w:tcPr>
            <w:tcW w:w="1383" w:type="dxa"/>
            <w:vMerge w:val="continue"/>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水毁</w:t>
            </w:r>
          </w:p>
        </w:tc>
        <w:tc>
          <w:tcPr>
            <w:tcW w:w="996"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4500</w:t>
            </w:r>
          </w:p>
        </w:tc>
        <w:tc>
          <w:tcPr>
            <w:tcW w:w="109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4500</w:t>
            </w:r>
          </w:p>
        </w:tc>
        <w:tc>
          <w:tcPr>
            <w:tcW w:w="809" w:type="dxa"/>
            <w:vMerge w:val="continue"/>
            <w:vAlign w:val="center"/>
          </w:tcPr>
          <w:p>
            <w:pPr>
              <w:spacing w:line="240" w:lineRule="auto"/>
              <w:ind w:firstLine="420"/>
              <w:jc w:val="both"/>
              <w:rPr>
                <w:rFonts w:ascii="仿宋_GB2312" w:hAnsi="宋体" w:eastAsia="仿宋_GB2312" w:cs="宋体"/>
                <w:kern w:val="0"/>
              </w:rPr>
            </w:pPr>
          </w:p>
        </w:tc>
        <w:tc>
          <w:tcPr>
            <w:tcW w:w="849" w:type="dxa"/>
            <w:vMerge w:val="continue"/>
            <w:vAlign w:val="center"/>
          </w:tcPr>
          <w:p>
            <w:pPr>
              <w:spacing w:line="240" w:lineRule="auto"/>
              <w:ind w:firstLine="420"/>
              <w:jc w:val="both"/>
              <w:rPr>
                <w:rFonts w:ascii="仿宋_GB2312" w:hAnsi="宋体" w:eastAsia="仿宋_GB2312" w:cs="宋体"/>
                <w:kern w:val="0"/>
              </w:rPr>
            </w:pPr>
          </w:p>
        </w:tc>
        <w:tc>
          <w:tcPr>
            <w:tcW w:w="1383" w:type="dxa"/>
            <w:vMerge w:val="continue"/>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2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资源产业路</w:t>
            </w:r>
          </w:p>
        </w:tc>
        <w:tc>
          <w:tcPr>
            <w:tcW w:w="996"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159.9</w:t>
            </w:r>
          </w:p>
        </w:tc>
        <w:tc>
          <w:tcPr>
            <w:tcW w:w="1099" w:type="dxa"/>
            <w:vAlign w:val="center"/>
          </w:tcPr>
          <w:p>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159.9</w:t>
            </w:r>
          </w:p>
        </w:tc>
        <w:tc>
          <w:tcPr>
            <w:tcW w:w="809" w:type="dxa"/>
            <w:vMerge w:val="continue"/>
            <w:vAlign w:val="center"/>
          </w:tcPr>
          <w:p>
            <w:pPr>
              <w:spacing w:line="240" w:lineRule="auto"/>
              <w:ind w:firstLine="420"/>
              <w:jc w:val="both"/>
              <w:rPr>
                <w:rFonts w:ascii="仿宋_GB2312" w:hAnsi="宋体" w:eastAsia="仿宋_GB2312" w:cs="宋体"/>
                <w:kern w:val="0"/>
              </w:rPr>
            </w:pPr>
          </w:p>
        </w:tc>
        <w:tc>
          <w:tcPr>
            <w:tcW w:w="849" w:type="dxa"/>
            <w:vMerge w:val="continue"/>
            <w:vAlign w:val="center"/>
          </w:tcPr>
          <w:p>
            <w:pPr>
              <w:spacing w:line="240" w:lineRule="auto"/>
              <w:ind w:firstLine="420"/>
              <w:jc w:val="both"/>
              <w:rPr>
                <w:rFonts w:ascii="仿宋_GB2312" w:hAnsi="宋体" w:eastAsia="仿宋_GB2312" w:cs="宋体"/>
                <w:kern w:val="0"/>
              </w:rPr>
            </w:pPr>
          </w:p>
        </w:tc>
        <w:tc>
          <w:tcPr>
            <w:tcW w:w="1383" w:type="dxa"/>
            <w:vMerge w:val="continue"/>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项目验收</w:t>
            </w:r>
          </w:p>
        </w:tc>
        <w:tc>
          <w:tcPr>
            <w:tcW w:w="996"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完工进度</w:t>
            </w:r>
          </w:p>
        </w:tc>
        <w:tc>
          <w:tcPr>
            <w:tcW w:w="996"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4</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3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项目沿线GDP增长</w:t>
            </w:r>
          </w:p>
        </w:tc>
        <w:tc>
          <w:tcPr>
            <w:tcW w:w="996"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≥7%</w:t>
            </w:r>
          </w:p>
        </w:tc>
        <w:tc>
          <w:tcPr>
            <w:tcW w:w="1099" w:type="dxa"/>
            <w:vAlign w:val="center"/>
          </w:tcPr>
          <w:p>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≥7%</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持续保持农村公路畅、洁、美</w:t>
            </w:r>
          </w:p>
        </w:tc>
        <w:tc>
          <w:tcPr>
            <w:tcW w:w="996"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满足</w:t>
            </w:r>
          </w:p>
        </w:tc>
        <w:tc>
          <w:tcPr>
            <w:tcW w:w="109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满足</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123"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农村公路施工过程是否满足环境保护要求</w:t>
            </w:r>
          </w:p>
        </w:tc>
        <w:tc>
          <w:tcPr>
            <w:tcW w:w="996"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满足</w:t>
            </w:r>
          </w:p>
        </w:tc>
        <w:tc>
          <w:tcPr>
            <w:tcW w:w="1099" w:type="dxa"/>
            <w:vAlign w:val="center"/>
          </w:tcPr>
          <w:p>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满足</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337"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有效促进</w:t>
            </w:r>
          </w:p>
        </w:tc>
        <w:tc>
          <w:tcPr>
            <w:tcW w:w="996"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有效促进</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有效促进</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337"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123"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公众满意度</w:t>
            </w:r>
          </w:p>
        </w:tc>
        <w:tc>
          <w:tcPr>
            <w:tcW w:w="996" w:type="dxa"/>
            <w:vMerge w:val="restart"/>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Merge w:val="restart"/>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337"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23" w:type="dxa"/>
            <w:vMerge w:val="continue"/>
            <w:vAlign w:val="center"/>
          </w:tcPr>
          <w:p>
            <w:pPr>
              <w:spacing w:line="240" w:lineRule="auto"/>
              <w:ind w:firstLine="420"/>
              <w:jc w:val="center"/>
              <w:rPr>
                <w:rFonts w:ascii="仿宋_GB2312" w:hAnsi="宋体" w:eastAsia="仿宋_GB2312" w:cs="宋体"/>
                <w:kern w:val="0"/>
              </w:rPr>
            </w:pPr>
          </w:p>
        </w:tc>
        <w:tc>
          <w:tcPr>
            <w:tcW w:w="996" w:type="dxa"/>
            <w:vMerge w:val="continue"/>
            <w:vAlign w:val="center"/>
          </w:tcPr>
          <w:p>
            <w:pPr>
              <w:spacing w:line="240" w:lineRule="auto"/>
              <w:ind w:firstLine="420"/>
              <w:jc w:val="center"/>
              <w:rPr>
                <w:rFonts w:ascii="仿宋_GB2312" w:hAnsi="宋体" w:eastAsia="仿宋_GB2312" w:cs="宋体"/>
                <w:kern w:val="0"/>
              </w:rPr>
            </w:pPr>
          </w:p>
        </w:tc>
        <w:tc>
          <w:tcPr>
            <w:tcW w:w="1099" w:type="dxa"/>
            <w:vMerge w:val="continue"/>
            <w:vAlign w:val="center"/>
          </w:tcPr>
          <w:p>
            <w:pPr>
              <w:spacing w:line="240" w:lineRule="auto"/>
              <w:ind w:firstLine="420"/>
              <w:jc w:val="center"/>
              <w:rPr>
                <w:rFonts w:ascii="仿宋_GB2312" w:hAnsi="宋体" w:eastAsia="仿宋_GB2312" w:cs="宋体"/>
                <w:kern w:val="0"/>
              </w:rPr>
            </w:pP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337"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996"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6278.2</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6278.2</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337"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持续保持农村公路畅、洁、美</w:t>
            </w:r>
          </w:p>
        </w:tc>
        <w:tc>
          <w:tcPr>
            <w:tcW w:w="996"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8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11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337"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12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农村公路施工过程是否满足环境保护要求</w:t>
            </w:r>
          </w:p>
        </w:tc>
        <w:tc>
          <w:tcPr>
            <w:tcW w:w="996"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易敏</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2022.06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5238620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jc w:val="center"/>
        <w:rPr>
          <w:rFonts w:ascii="方正小标宋简体" w:hAnsi="宋体" w:eastAsia="方正小标宋简体" w:cs="宋体"/>
          <w:bCs/>
          <w:spacing w:val="8"/>
          <w:kern w:val="0"/>
          <w:sz w:val="36"/>
          <w:szCs w:val="36"/>
          <w:lang w:eastAsia="zh-CN"/>
        </w:rPr>
      </w:pPr>
    </w:p>
    <w:p>
      <w:pPr>
        <w:jc w:val="center"/>
        <w:rPr>
          <w:rFonts w:hint="eastAsia" w:ascii="仿宋_GB2312" w:hAnsi="宋体" w:eastAsia="仿宋_GB2312" w:cs="宋体"/>
          <w:kern w:val="0"/>
          <w:lang w:eastAsia="zh-CN"/>
        </w:rPr>
      </w:pPr>
      <w:r>
        <w:rPr>
          <w:rFonts w:ascii="方正小标宋简体" w:hAnsi="宋体" w:eastAsia="方正小标宋简体" w:cs="宋体"/>
          <w:bCs/>
          <w:spacing w:val="8"/>
          <w:kern w:val="0"/>
          <w:sz w:val="36"/>
          <w:szCs w:val="36"/>
          <w:lang w:eastAsia="zh-CN"/>
        </w:rPr>
        <w:t>202</w:t>
      </w:r>
      <w:r>
        <w:rPr>
          <w:rFonts w:hint="eastAsia" w:ascii="方正小标宋简体" w:hAnsi="宋体" w:eastAsia="方正小标宋简体" w:cs="宋体"/>
          <w:bCs/>
          <w:spacing w:val="8"/>
          <w:kern w:val="0"/>
          <w:sz w:val="36"/>
          <w:szCs w:val="36"/>
          <w:lang w:val="en-US" w:eastAsia="zh-CN"/>
        </w:rPr>
        <w:t>2</w:t>
      </w:r>
      <w:r>
        <w:rPr>
          <w:rFonts w:ascii="方正小标宋简体" w:hAnsi="宋体" w:eastAsia="方正小标宋简体" w:cs="宋体"/>
          <w:bCs/>
          <w:spacing w:val="8"/>
          <w:kern w:val="0"/>
          <w:sz w:val="36"/>
          <w:szCs w:val="36"/>
          <w:lang w:eastAsia="zh-CN"/>
        </w:rPr>
        <w:t>年度项目支出绩效自评表</w:t>
      </w:r>
    </w:p>
    <w:tbl>
      <w:tblPr>
        <w:tblStyle w:val="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053"/>
        <w:gridCol w:w="1211"/>
        <w:gridCol w:w="1205"/>
        <w:gridCol w:w="903"/>
        <w:gridCol w:w="1092"/>
        <w:gridCol w:w="804"/>
        <w:gridCol w:w="843"/>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项目支出名称</w:t>
            </w:r>
          </w:p>
        </w:tc>
        <w:tc>
          <w:tcPr>
            <w:tcW w:w="8491" w:type="dxa"/>
            <w:gridSpan w:val="8"/>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eastAsia="仿宋_GB2312"/>
                <w:kern w:val="0"/>
                <w:sz w:val="16"/>
                <w:szCs w:val="16"/>
                <w:lang w:eastAsia="zh-CN"/>
              </w:rPr>
              <w:t>汨罗市交通运输综合行政执法大队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主管部门</w:t>
            </w:r>
          </w:p>
        </w:tc>
        <w:tc>
          <w:tcPr>
            <w:tcW w:w="4372" w:type="dxa"/>
            <w:gridSpan w:val="4"/>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汨罗市交通运输局</w:t>
            </w:r>
          </w:p>
        </w:tc>
        <w:tc>
          <w:tcPr>
            <w:tcW w:w="1092"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实施</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单位</w:t>
            </w:r>
          </w:p>
        </w:tc>
        <w:tc>
          <w:tcPr>
            <w:tcW w:w="3027" w:type="dxa"/>
            <w:gridSpan w:val="3"/>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eastAsia="仿宋_GB2312"/>
                <w:kern w:val="0"/>
                <w:sz w:val="16"/>
                <w:szCs w:val="16"/>
                <w:lang w:eastAsia="zh-CN"/>
              </w:rPr>
              <w:t>汨罗市交通运输综合行政执法大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cBorders>
              <w:bottom w:val="nil"/>
            </w:tcBorders>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 xml:space="preserve">项目资金 </w:t>
            </w:r>
            <w:r>
              <w:rPr>
                <w:rFonts w:ascii="仿宋_GB2312" w:hAnsi="宋体" w:eastAsia="仿宋_GB2312" w:cs="宋体"/>
                <w:kern w:val="0"/>
                <w:sz w:val="16"/>
                <w:szCs w:val="16"/>
                <w:lang w:eastAsia="zh-CN"/>
              </w:rPr>
              <w:t>(</w:t>
            </w:r>
            <w:r>
              <w:rPr>
                <w:rFonts w:hint="eastAsia" w:ascii="仿宋_GB2312" w:hAnsi="宋体" w:eastAsia="仿宋_GB2312" w:cs="宋体"/>
                <w:kern w:val="0"/>
                <w:sz w:val="16"/>
                <w:szCs w:val="16"/>
                <w:lang w:eastAsia="zh-CN"/>
              </w:rPr>
              <w:t>万元</w:t>
            </w:r>
            <w:r>
              <w:rPr>
                <w:rFonts w:ascii="仿宋_GB2312" w:hAnsi="宋体" w:eastAsia="仿宋_GB2312" w:cs="宋体"/>
                <w:kern w:val="0"/>
                <w:sz w:val="16"/>
                <w:szCs w:val="16"/>
                <w:lang w:eastAsia="zh-CN"/>
              </w:rPr>
              <w:t>)</w:t>
            </w:r>
          </w:p>
        </w:tc>
        <w:tc>
          <w:tcPr>
            <w:tcW w:w="2264" w:type="dxa"/>
            <w:gridSpan w:val="2"/>
            <w:vAlign w:val="center"/>
          </w:tcPr>
          <w:p>
            <w:pPr>
              <w:spacing w:line="240" w:lineRule="auto"/>
              <w:ind w:firstLine="420"/>
              <w:jc w:val="center"/>
              <w:rPr>
                <w:rFonts w:ascii="仿宋_GB2312" w:hAnsi="宋体" w:eastAsia="仿宋_GB2312" w:cs="宋体"/>
                <w:kern w:val="0"/>
                <w:sz w:val="16"/>
                <w:szCs w:val="16"/>
                <w:lang w:eastAsia="zh-CN"/>
              </w:rPr>
            </w:pPr>
          </w:p>
        </w:tc>
        <w:tc>
          <w:tcPr>
            <w:tcW w:w="1205"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年初</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1092"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执行数</w:t>
            </w:r>
          </w:p>
        </w:tc>
        <w:tc>
          <w:tcPr>
            <w:tcW w:w="804"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分值</w:t>
            </w:r>
          </w:p>
        </w:tc>
        <w:tc>
          <w:tcPr>
            <w:tcW w:w="843"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执行率</w:t>
            </w:r>
          </w:p>
        </w:tc>
        <w:tc>
          <w:tcPr>
            <w:tcW w:w="1380" w:type="dxa"/>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年度资金总额</w:t>
            </w:r>
          </w:p>
        </w:tc>
        <w:tc>
          <w:tcPr>
            <w:tcW w:w="1205"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129.43</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129.43</w:t>
            </w:r>
          </w:p>
        </w:tc>
        <w:tc>
          <w:tcPr>
            <w:tcW w:w="804" w:type="dxa"/>
            <w:vAlign w:val="center"/>
          </w:tcPr>
          <w:p>
            <w:pPr>
              <w:spacing w:line="240" w:lineRule="auto"/>
              <w:jc w:val="center"/>
              <w:rPr>
                <w:rFonts w:ascii="仿宋_GB2312" w:hAnsi="宋体" w:eastAsia="仿宋_GB2312" w:cs="宋体"/>
                <w:kern w:val="0"/>
                <w:sz w:val="16"/>
                <w:szCs w:val="16"/>
                <w:lang w:eastAsia="zh-CN"/>
              </w:rPr>
            </w:pPr>
            <w:r>
              <w:rPr>
                <w:rFonts w:ascii="仿宋_GB2312" w:hAnsi="宋体" w:eastAsia="仿宋_GB2312" w:cs="宋体"/>
                <w:kern w:val="0"/>
                <w:sz w:val="16"/>
                <w:szCs w:val="16"/>
                <w:lang w:eastAsia="zh-CN"/>
              </w:rPr>
              <w:t>10</w:t>
            </w:r>
          </w:p>
        </w:tc>
        <w:tc>
          <w:tcPr>
            <w:tcW w:w="843"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380"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其中：当年财政拨款</w:t>
            </w:r>
          </w:p>
        </w:tc>
        <w:tc>
          <w:tcPr>
            <w:tcW w:w="1205"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90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092" w:type="dxa"/>
            <w:vAlign w:val="center"/>
          </w:tcPr>
          <w:p>
            <w:pPr>
              <w:spacing w:line="240" w:lineRule="auto"/>
              <w:ind w:firstLine="420"/>
              <w:jc w:val="center"/>
              <w:rPr>
                <w:rFonts w:ascii="仿宋_GB2312" w:hAnsi="宋体" w:eastAsia="仿宋_GB2312" w:cs="宋体"/>
                <w:kern w:val="0"/>
                <w:sz w:val="16"/>
                <w:szCs w:val="16"/>
                <w:lang w:eastAsia="zh-CN"/>
              </w:rPr>
            </w:pPr>
          </w:p>
        </w:tc>
        <w:tc>
          <w:tcPr>
            <w:tcW w:w="804" w:type="dxa"/>
            <w:vAlign w:val="center"/>
          </w:tcPr>
          <w:p>
            <w:pPr>
              <w:spacing w:line="240" w:lineRule="auto"/>
              <w:ind w:firstLine="420"/>
              <w:jc w:val="center"/>
              <w:rPr>
                <w:rFonts w:ascii="仿宋_GB2312" w:hAnsi="宋体" w:eastAsia="仿宋_GB2312" w:cs="宋体"/>
                <w:kern w:val="0"/>
                <w:sz w:val="16"/>
                <w:szCs w:val="16"/>
                <w:lang w:eastAsia="zh-CN"/>
              </w:rPr>
            </w:pPr>
          </w:p>
        </w:tc>
        <w:tc>
          <w:tcPr>
            <w:tcW w:w="84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380" w:type="dxa"/>
            <w:vAlign w:val="center"/>
          </w:tcPr>
          <w:p>
            <w:pPr>
              <w:spacing w:line="240" w:lineRule="auto"/>
              <w:ind w:firstLine="420"/>
              <w:jc w:val="center"/>
              <w:rPr>
                <w:rFonts w:ascii="仿宋_GB2312" w:hAnsi="宋体" w:eastAsia="仿宋_GB2312" w:cs="宋体"/>
                <w:kern w:val="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ind w:firstLine="480" w:firstLineChars="300"/>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上年结转资金</w:t>
            </w:r>
          </w:p>
        </w:tc>
        <w:tc>
          <w:tcPr>
            <w:tcW w:w="1205" w:type="dxa"/>
            <w:vAlign w:val="center"/>
          </w:tcPr>
          <w:p>
            <w:pPr>
              <w:spacing w:line="240" w:lineRule="auto"/>
              <w:ind w:firstLine="420"/>
              <w:jc w:val="center"/>
              <w:rPr>
                <w:rFonts w:ascii="仿宋_GB2312" w:hAnsi="宋体" w:eastAsia="仿宋_GB2312" w:cs="宋体"/>
                <w:kern w:val="0"/>
                <w:sz w:val="16"/>
                <w:szCs w:val="16"/>
                <w:lang w:eastAsia="zh-CN"/>
              </w:rPr>
            </w:pPr>
          </w:p>
        </w:tc>
        <w:tc>
          <w:tcPr>
            <w:tcW w:w="90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092" w:type="dxa"/>
            <w:vAlign w:val="center"/>
          </w:tcPr>
          <w:p>
            <w:pPr>
              <w:spacing w:line="240" w:lineRule="auto"/>
              <w:ind w:firstLine="420"/>
              <w:jc w:val="center"/>
              <w:rPr>
                <w:rFonts w:ascii="仿宋_GB2312" w:hAnsi="宋体" w:eastAsia="仿宋_GB2312" w:cs="宋体"/>
                <w:kern w:val="0"/>
                <w:sz w:val="16"/>
                <w:szCs w:val="16"/>
                <w:lang w:eastAsia="zh-CN"/>
              </w:rPr>
            </w:pPr>
          </w:p>
        </w:tc>
        <w:tc>
          <w:tcPr>
            <w:tcW w:w="804" w:type="dxa"/>
            <w:vAlign w:val="center"/>
          </w:tcPr>
          <w:p>
            <w:pPr>
              <w:spacing w:line="240" w:lineRule="auto"/>
              <w:ind w:firstLine="420"/>
              <w:jc w:val="center"/>
              <w:rPr>
                <w:rFonts w:ascii="仿宋_GB2312" w:hAnsi="宋体" w:eastAsia="仿宋_GB2312" w:cs="宋体"/>
                <w:kern w:val="0"/>
                <w:sz w:val="16"/>
                <w:szCs w:val="16"/>
                <w:lang w:eastAsia="zh-CN"/>
              </w:rPr>
            </w:pPr>
          </w:p>
        </w:tc>
        <w:tc>
          <w:tcPr>
            <w:tcW w:w="84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380" w:type="dxa"/>
            <w:vAlign w:val="center"/>
          </w:tcPr>
          <w:p>
            <w:pPr>
              <w:spacing w:line="240" w:lineRule="auto"/>
              <w:ind w:firstLine="420"/>
              <w:jc w:val="center"/>
              <w:rPr>
                <w:rFonts w:ascii="仿宋_GB2312" w:hAnsi="宋体" w:eastAsia="仿宋_GB2312" w:cs="宋体"/>
                <w:kern w:val="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ind w:firstLine="480" w:firstLineChars="30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其他资金</w:t>
            </w:r>
          </w:p>
        </w:tc>
        <w:tc>
          <w:tcPr>
            <w:tcW w:w="1205" w:type="dxa"/>
            <w:vAlign w:val="center"/>
          </w:tcPr>
          <w:p>
            <w:pPr>
              <w:spacing w:line="240" w:lineRule="auto"/>
              <w:ind w:firstLine="420"/>
              <w:jc w:val="center"/>
              <w:rPr>
                <w:rFonts w:ascii="仿宋_GB2312" w:hAnsi="宋体" w:eastAsia="仿宋_GB2312" w:cs="宋体"/>
                <w:kern w:val="0"/>
                <w:sz w:val="16"/>
                <w:szCs w:val="16"/>
              </w:rPr>
            </w:pPr>
          </w:p>
        </w:tc>
        <w:tc>
          <w:tcPr>
            <w:tcW w:w="903" w:type="dxa"/>
            <w:vAlign w:val="center"/>
          </w:tcPr>
          <w:p>
            <w:pPr>
              <w:spacing w:line="240" w:lineRule="auto"/>
              <w:ind w:firstLine="420"/>
              <w:jc w:val="center"/>
              <w:rPr>
                <w:rFonts w:ascii="仿宋_GB2312" w:hAnsi="宋体" w:eastAsia="仿宋_GB2312" w:cs="宋体"/>
                <w:kern w:val="0"/>
                <w:sz w:val="16"/>
                <w:szCs w:val="16"/>
              </w:rPr>
            </w:pPr>
          </w:p>
        </w:tc>
        <w:tc>
          <w:tcPr>
            <w:tcW w:w="1092" w:type="dxa"/>
            <w:vAlign w:val="center"/>
          </w:tcPr>
          <w:p>
            <w:pPr>
              <w:spacing w:line="240" w:lineRule="auto"/>
              <w:ind w:firstLine="420"/>
              <w:jc w:val="center"/>
              <w:rPr>
                <w:rFonts w:ascii="仿宋_GB2312" w:hAnsi="宋体" w:eastAsia="仿宋_GB2312" w:cs="宋体"/>
                <w:kern w:val="0"/>
                <w:sz w:val="16"/>
                <w:szCs w:val="16"/>
              </w:rPr>
            </w:pPr>
          </w:p>
        </w:tc>
        <w:tc>
          <w:tcPr>
            <w:tcW w:w="804" w:type="dxa"/>
            <w:vAlign w:val="center"/>
          </w:tcPr>
          <w:p>
            <w:pPr>
              <w:spacing w:line="240" w:lineRule="auto"/>
              <w:ind w:firstLine="420"/>
              <w:jc w:val="center"/>
              <w:rPr>
                <w:rFonts w:ascii="仿宋_GB2312" w:hAnsi="宋体" w:eastAsia="仿宋_GB2312" w:cs="宋体"/>
                <w:kern w:val="0"/>
                <w:sz w:val="16"/>
                <w:szCs w:val="16"/>
              </w:rPr>
            </w:pPr>
          </w:p>
        </w:tc>
        <w:tc>
          <w:tcPr>
            <w:tcW w:w="843" w:type="dxa"/>
            <w:vAlign w:val="center"/>
          </w:tcPr>
          <w:p>
            <w:pPr>
              <w:spacing w:line="240" w:lineRule="auto"/>
              <w:ind w:firstLine="420"/>
              <w:jc w:val="center"/>
              <w:rPr>
                <w:rFonts w:ascii="仿宋_GB2312" w:hAnsi="宋体" w:eastAsia="仿宋_GB2312" w:cs="宋体"/>
                <w:kern w:val="0"/>
                <w:sz w:val="16"/>
                <w:szCs w:val="16"/>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年度总体目标</w:t>
            </w: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预期目标</w:t>
            </w:r>
          </w:p>
        </w:tc>
        <w:tc>
          <w:tcPr>
            <w:tcW w:w="4119"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rPr>
            </w:pP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p>
        </w:tc>
        <w:tc>
          <w:tcPr>
            <w:tcW w:w="4119" w:type="dxa"/>
            <w:gridSpan w:val="4"/>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extDirection w:val="tbRlV"/>
            <w:vAlign w:val="center"/>
          </w:tcPr>
          <w:p>
            <w:pPr>
              <w:spacing w:line="240" w:lineRule="auto"/>
              <w:ind w:firstLine="420"/>
              <w:jc w:val="center"/>
              <w:rPr>
                <w:rFonts w:ascii="仿宋_GB2312" w:hAnsi="宋体" w:eastAsia="仿宋_GB2312" w:cs="宋体"/>
                <w:kern w:val="0"/>
                <w:sz w:val="16"/>
                <w:szCs w:val="16"/>
              </w:rPr>
            </w:pPr>
          </w:p>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绩效指标</w:t>
            </w:r>
          </w:p>
        </w:tc>
        <w:tc>
          <w:tcPr>
            <w:tcW w:w="105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一级指标</w:t>
            </w:r>
          </w:p>
        </w:tc>
        <w:tc>
          <w:tcPr>
            <w:tcW w:w="1211"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二级指标</w:t>
            </w:r>
          </w:p>
        </w:tc>
        <w:tc>
          <w:tcPr>
            <w:tcW w:w="1205"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三级指标</w:t>
            </w:r>
          </w:p>
        </w:tc>
        <w:tc>
          <w:tcPr>
            <w:tcW w:w="90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年度指标值</w:t>
            </w:r>
          </w:p>
        </w:tc>
        <w:tc>
          <w:tcPr>
            <w:tcW w:w="1092"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实际完成值</w:t>
            </w:r>
          </w:p>
        </w:tc>
        <w:tc>
          <w:tcPr>
            <w:tcW w:w="804"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分值</w:t>
            </w:r>
          </w:p>
        </w:tc>
        <w:tc>
          <w:tcPr>
            <w:tcW w:w="84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得分</w:t>
            </w:r>
          </w:p>
        </w:tc>
        <w:tc>
          <w:tcPr>
            <w:tcW w:w="1380"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产出指标</w:t>
            </w:r>
          </w:p>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w:t>
            </w:r>
            <w:r>
              <w:rPr>
                <w:rFonts w:hint="eastAsia" w:ascii="仿宋_GB2312" w:hAnsi="宋体" w:eastAsia="仿宋_GB2312" w:cs="宋体"/>
                <w:kern w:val="0"/>
                <w:sz w:val="16"/>
                <w:szCs w:val="16"/>
                <w:lang w:val="en-US" w:eastAsia="zh-CN"/>
              </w:rPr>
              <w:t>3</w:t>
            </w:r>
            <w:r>
              <w:rPr>
                <w:rFonts w:ascii="仿宋_GB2312" w:hAnsi="宋体" w:eastAsia="仿宋_GB2312" w:cs="宋体"/>
                <w:kern w:val="0"/>
                <w:sz w:val="16"/>
                <w:szCs w:val="16"/>
              </w:rPr>
              <w:t>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vMerge w:val="restart"/>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数量指标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举办治超专题会议</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4次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4次</w:t>
            </w:r>
          </w:p>
        </w:tc>
        <w:tc>
          <w:tcPr>
            <w:tcW w:w="804"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开展治超稽查专项行动次数</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24次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24次</w:t>
            </w:r>
          </w:p>
        </w:tc>
        <w:tc>
          <w:tcPr>
            <w:tcW w:w="804"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开展货运企业专项检查</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160次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160次</w:t>
            </w:r>
          </w:p>
        </w:tc>
        <w:tc>
          <w:tcPr>
            <w:tcW w:w="804"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维修企业专项检查</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126次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126次</w:t>
            </w:r>
          </w:p>
        </w:tc>
        <w:tc>
          <w:tcPr>
            <w:tcW w:w="804"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驾培机构专项检查56次</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56次</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56次</w:t>
            </w:r>
          </w:p>
        </w:tc>
        <w:tc>
          <w:tcPr>
            <w:tcW w:w="804"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tabs>
                <w:tab w:val="left" w:pos="416"/>
              </w:tabs>
              <w:spacing w:line="240" w:lineRule="auto"/>
              <w:jc w:val="left"/>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客运企业专项检查</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68次</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68次</w:t>
            </w:r>
          </w:p>
        </w:tc>
        <w:tc>
          <w:tcPr>
            <w:tcW w:w="804"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tcBorders>
              <w:bottom w:val="nil"/>
            </w:tcBorders>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tabs>
                <w:tab w:val="left" w:pos="416"/>
              </w:tabs>
              <w:spacing w:line="240" w:lineRule="auto"/>
              <w:jc w:val="left"/>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置办夏季、冬季、防寒工作服</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1批</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804"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restart"/>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质量指标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下发整改通知书</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100%</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804"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continue"/>
            <w:tcBorders>
              <w:bottom w:val="nil"/>
            </w:tcBorders>
            <w:vAlign w:val="center"/>
          </w:tcPr>
          <w:p>
            <w:pPr>
              <w:spacing w:line="240" w:lineRule="auto"/>
              <w:jc w:val="center"/>
              <w:rPr>
                <w:rFonts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普通公路超限超载率</w:t>
            </w:r>
          </w:p>
        </w:tc>
        <w:tc>
          <w:tcPr>
            <w:tcW w:w="903" w:type="dxa"/>
            <w:vAlign w:val="center"/>
          </w:tcPr>
          <w:p>
            <w:pPr>
              <w:spacing w:line="240" w:lineRule="auto"/>
              <w:jc w:val="center"/>
              <w:rPr>
                <w:rFonts w:hint="default" w:ascii="仿宋_GB2312" w:hAnsi="宋体" w:eastAsia="仿宋_GB2312" w:cs="宋体"/>
                <w:snapToGrid w:val="0"/>
                <w:color w:val="000000"/>
                <w:kern w:val="0"/>
                <w:sz w:val="16"/>
                <w:szCs w:val="16"/>
                <w:lang w:val="en-US" w:eastAsia="zh-CN" w:bidi="ar-SA"/>
              </w:rPr>
            </w:pPr>
            <w:r>
              <w:rPr>
                <w:rFonts w:hint="default" w:ascii="仿宋_GB2312" w:hAnsi="宋体" w:eastAsia="仿宋_GB2312" w:cs="宋体"/>
                <w:kern w:val="0"/>
                <w:sz w:val="16"/>
                <w:szCs w:val="16"/>
                <w:lang w:val="en-US" w:eastAsia="zh-CN"/>
              </w:rPr>
              <w:t>0.98%</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控制在1%以内</w:t>
            </w:r>
          </w:p>
        </w:tc>
        <w:tc>
          <w:tcPr>
            <w:tcW w:w="804" w:type="dxa"/>
            <w:vMerge w:val="continue"/>
            <w:vAlign w:val="center"/>
          </w:tcPr>
          <w:p>
            <w:pPr>
              <w:spacing w:line="240" w:lineRule="auto"/>
              <w:jc w:val="center"/>
              <w:rPr>
                <w:rFonts w:hint="eastAsia" w:ascii="仿宋_GB2312" w:hAnsi="宋体" w:eastAsia="仿宋_GB2312" w:cs="宋体"/>
                <w:kern w:val="0"/>
                <w:sz w:val="16"/>
                <w:szCs w:val="16"/>
                <w:lang w:val="en-US" w:eastAsia="zh-CN"/>
              </w:rPr>
            </w:pPr>
          </w:p>
        </w:tc>
        <w:tc>
          <w:tcPr>
            <w:tcW w:w="843" w:type="dxa"/>
            <w:vMerge w:val="continue"/>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时效指标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在计划内完成</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12个月</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12个月之内</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效益指标</w:t>
            </w:r>
          </w:p>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(30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经济效益指标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有效促进经济发展</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有效促进</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6</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社会效益指标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交通运输市场秩序</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保持良好</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有效促进</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6</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生态效益指标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未对环境造成负面影响</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提升</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未对环境造成负面营销</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可持续影响指标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对社会交通运输带来积极可持续影响</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效果明显</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效果明显</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6</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满意度指标</w:t>
            </w:r>
            <w:r>
              <w:rPr>
                <w:rFonts w:ascii="仿宋_GB2312" w:hAnsi="宋体" w:eastAsia="仿宋_GB2312" w:cs="宋体"/>
                <w:kern w:val="0"/>
                <w:sz w:val="16"/>
                <w:szCs w:val="16"/>
              </w:rPr>
              <w:t>(10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服务对象满意度指标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群众满意度</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≥98%</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≥95%</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top w:val="nil"/>
            </w:tcBorders>
            <w:vAlign w:val="center"/>
          </w:tcPr>
          <w:p>
            <w:pPr>
              <w:spacing w:line="240" w:lineRule="auto"/>
              <w:jc w:val="center"/>
              <w:rPr>
                <w:rFonts w:hint="eastAsia" w:ascii="仿宋_GB2312" w:eastAsia="仿宋_GB2312"/>
                <w:kern w:val="0"/>
                <w:sz w:val="16"/>
                <w:szCs w:val="16"/>
                <w:lang w:val="en-US" w:eastAsia="zh-CN"/>
              </w:rPr>
            </w:pPr>
            <w:r>
              <w:rPr>
                <w:rFonts w:hint="eastAsia" w:ascii="仿宋_GB2312" w:eastAsia="仿宋_GB2312"/>
                <w:kern w:val="0"/>
                <w:sz w:val="16"/>
                <w:szCs w:val="16"/>
                <w:lang w:val="en-US" w:eastAsia="zh-CN"/>
              </w:rPr>
              <w:t>成本指标</w:t>
            </w:r>
          </w:p>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val="en-US" w:eastAsia="zh-CN"/>
              </w:rPr>
              <w:t>（20分）</w:t>
            </w: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经济成本指标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成本指标</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支出控制在100万元</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129.43</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20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19</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社会成本指标</w:t>
            </w:r>
          </w:p>
        </w:tc>
        <w:tc>
          <w:tcPr>
            <w:tcW w:w="1205"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无</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生态环境成本指标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未对环境造成负面影响</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6512" w:type="dxa"/>
            <w:gridSpan w:val="6"/>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总分</w:t>
            </w:r>
          </w:p>
        </w:tc>
        <w:tc>
          <w:tcPr>
            <w:tcW w:w="804" w:type="dxa"/>
            <w:vAlign w:val="center"/>
          </w:tcPr>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100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98</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eastAsia="zh-CN"/>
        </w:rPr>
        <w:t>2</w:t>
      </w:r>
      <w:r>
        <w:rPr>
          <w:rFonts w:ascii="方正小标宋简体" w:hAnsi="宋体" w:eastAsia="方正小标宋简体" w:cs="宋体"/>
          <w:bCs/>
          <w:spacing w:val="8"/>
          <w:kern w:val="0"/>
          <w:sz w:val="44"/>
          <w:szCs w:val="44"/>
          <w:lang w:eastAsia="zh-CN"/>
        </w:rPr>
        <w:t>年度项目支出绩效自评表</w:t>
      </w: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船舶污染物接收经费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left"/>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汨罗市水运事务中心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0</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85.462</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85.462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lang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0</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85.462</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85.462</w:t>
            </w:r>
          </w:p>
        </w:tc>
        <w:tc>
          <w:tcPr>
            <w:tcW w:w="809" w:type="dxa"/>
            <w:vAlign w:val="center"/>
          </w:tcPr>
          <w:p>
            <w:pPr>
              <w:spacing w:line="240" w:lineRule="auto"/>
              <w:ind w:firstLine="315" w:firstLineChars="150"/>
              <w:jc w:val="left"/>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lang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湘江汨罗段水域船舶污染物接收经费，</w:t>
            </w:r>
            <w:r>
              <w:rPr>
                <w:rFonts w:ascii="仿宋_GB2312" w:hAnsi="宋体" w:eastAsia="仿宋_GB2312" w:cs="宋体"/>
                <w:kern w:val="0"/>
              </w:rPr>
              <w:t>202</w:t>
            </w:r>
            <w:r>
              <w:rPr>
                <w:rFonts w:hint="eastAsia" w:ascii="仿宋_GB2312" w:hAnsi="宋体" w:eastAsia="仿宋_GB2312" w:cs="宋体"/>
                <w:kern w:val="0"/>
                <w:lang w:eastAsia="zh-CN"/>
              </w:rPr>
              <w:t>2</w:t>
            </w:r>
            <w:r>
              <w:rPr>
                <w:rFonts w:hint="eastAsia" w:ascii="仿宋_GB2312" w:hAnsi="宋体" w:eastAsia="仿宋_GB2312" w:cs="宋体"/>
                <w:kern w:val="0"/>
              </w:rPr>
              <w:t>年预算</w:t>
            </w:r>
            <w:r>
              <w:rPr>
                <w:rFonts w:ascii="仿宋_GB2312" w:hAnsi="宋体" w:eastAsia="仿宋_GB2312" w:cs="宋体"/>
                <w:kern w:val="0"/>
              </w:rPr>
              <w:t>85.46</w:t>
            </w:r>
            <w:r>
              <w:rPr>
                <w:rFonts w:hint="eastAsia" w:ascii="仿宋_GB2312" w:hAnsi="宋体" w:eastAsia="仿宋_GB2312" w:cs="宋体"/>
                <w:kern w:val="0"/>
                <w:lang w:eastAsia="zh-CN"/>
              </w:rPr>
              <w:t>2</w:t>
            </w:r>
            <w:r>
              <w:rPr>
                <w:rFonts w:hint="eastAsia" w:ascii="仿宋_GB2312" w:hAnsi="宋体" w:eastAsia="仿宋_GB2312" w:cs="宋体"/>
                <w:kern w:val="0"/>
              </w:rPr>
              <w:t>万元，做到船舶污染物应收尽收，确保水域环保卫生。</w:t>
            </w:r>
          </w:p>
        </w:tc>
        <w:tc>
          <w:tcPr>
            <w:tcW w:w="4140" w:type="dxa"/>
            <w:gridSpan w:val="4"/>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在营田码头至高台码头水域内</w:t>
            </w:r>
            <w:r>
              <w:rPr>
                <w:rFonts w:ascii="仿宋_GB2312" w:hAnsi="宋体" w:eastAsia="仿宋_GB2312" w:cs="宋体"/>
                <w:kern w:val="0"/>
              </w:rPr>
              <w:t>27.6</w:t>
            </w:r>
            <w:r>
              <w:rPr>
                <w:rFonts w:hint="eastAsia" w:ascii="仿宋_GB2312" w:hAnsi="宋体" w:eastAsia="仿宋_GB2312" w:cs="宋体"/>
                <w:kern w:val="0"/>
              </w:rPr>
              <w:t>公里，负责辖区水域的水上环保，守护好所辖范围的“一江碧水”。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在营田码头至高台码头水域内</w:t>
            </w:r>
            <w:r>
              <w:rPr>
                <w:rFonts w:ascii="仿宋_GB2312" w:hAnsi="宋体" w:eastAsia="仿宋_GB2312" w:cs="宋体"/>
                <w:kern w:val="0"/>
              </w:rPr>
              <w:t>27.6</w:t>
            </w:r>
            <w:r>
              <w:rPr>
                <w:rFonts w:hint="eastAsia" w:ascii="仿宋_GB2312" w:hAnsi="宋体" w:eastAsia="仿宋_GB2312" w:cs="宋体"/>
                <w:kern w:val="0"/>
              </w:rPr>
              <w:t>公里</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全年</w:t>
            </w:r>
            <w:r>
              <w:rPr>
                <w:rFonts w:ascii="仿宋_GB2312" w:hAnsi="宋体" w:eastAsia="仿宋_GB2312" w:cs="宋体"/>
                <w:kern w:val="0"/>
              </w:rPr>
              <w:t>85.46</w:t>
            </w:r>
            <w:r>
              <w:rPr>
                <w:rFonts w:hint="eastAsia" w:ascii="仿宋_GB2312" w:hAnsi="宋体" w:eastAsia="仿宋_GB2312" w:cs="宋体"/>
                <w:kern w:val="0"/>
              </w:rPr>
              <w:t>万元专项经费，确保水上环保</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无环境污染，无社会公众投诉</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确保了水上环保，守护“一江碧水”</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9</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水上环保无法做到万无一失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lang w:eastAsia="zh-CN"/>
              </w:rPr>
            </w:pPr>
            <w:r>
              <w:rPr>
                <w:rFonts w:ascii="仿宋_GB2312" w:hAnsi="宋体" w:eastAsia="仿宋_GB2312" w:cs="宋体"/>
                <w:kern w:val="0"/>
              </w:rPr>
              <w:t>202</w:t>
            </w:r>
            <w:r>
              <w:rPr>
                <w:rFonts w:hint="eastAsia" w:ascii="仿宋_GB2312" w:hAnsi="宋体" w:eastAsia="仿宋_GB2312" w:cs="宋体"/>
                <w:kern w:val="0"/>
                <w:lang w:eastAsia="zh-CN"/>
              </w:rPr>
              <w:t>2</w:t>
            </w:r>
            <w:r>
              <w:rPr>
                <w:rFonts w:hint="eastAsia" w:ascii="仿宋_GB2312" w:hAnsi="宋体" w:eastAsia="仿宋_GB2312" w:cs="宋体"/>
                <w:kern w:val="0"/>
              </w:rPr>
              <w:t>年</w:t>
            </w:r>
            <w:r>
              <w:rPr>
                <w:rFonts w:ascii="仿宋_GB2312" w:hAnsi="宋体" w:eastAsia="仿宋_GB2312" w:cs="宋体"/>
                <w:kern w:val="0"/>
              </w:rPr>
              <w:t>1</w:t>
            </w:r>
            <w:r>
              <w:rPr>
                <w:rFonts w:hint="eastAsia" w:ascii="仿宋_GB2312" w:hAnsi="宋体" w:eastAsia="仿宋_GB2312" w:cs="宋体"/>
                <w:kern w:val="0"/>
              </w:rPr>
              <w:t>月</w:t>
            </w:r>
            <w:r>
              <w:rPr>
                <w:rFonts w:ascii="仿宋_GB2312" w:hAnsi="宋体" w:eastAsia="仿宋_GB2312" w:cs="宋体"/>
                <w:kern w:val="0"/>
              </w:rPr>
              <w:t>-202</w:t>
            </w:r>
            <w:r>
              <w:rPr>
                <w:rFonts w:hint="eastAsia" w:ascii="仿宋_GB2312" w:hAnsi="宋体" w:eastAsia="仿宋_GB2312" w:cs="宋体"/>
                <w:kern w:val="0"/>
                <w:lang w:eastAsia="zh-CN"/>
              </w:rPr>
              <w:t>2</w:t>
            </w:r>
            <w:r>
              <w:rPr>
                <w:rFonts w:hint="eastAsia" w:ascii="仿宋_GB2312" w:hAnsi="宋体" w:eastAsia="仿宋_GB2312" w:cs="宋体"/>
                <w:kern w:val="0"/>
              </w:rPr>
              <w:t>年</w:t>
            </w:r>
            <w:r>
              <w:rPr>
                <w:rFonts w:ascii="仿宋_GB2312" w:hAnsi="宋体" w:eastAsia="仿宋_GB2312" w:cs="宋体"/>
                <w:kern w:val="0"/>
              </w:rPr>
              <w:t>12</w:t>
            </w:r>
            <w:r>
              <w:rPr>
                <w:rFonts w:hint="eastAsia" w:ascii="仿宋_GB2312" w:hAnsi="宋体" w:eastAsia="仿宋_GB2312" w:cs="宋体"/>
                <w:kern w:val="0"/>
              </w:rPr>
              <w:t>月</w:t>
            </w:r>
          </w:p>
        </w:tc>
        <w:tc>
          <w:tcPr>
            <w:tcW w:w="1099" w:type="dxa"/>
            <w:vAlign w:val="center"/>
          </w:tcPr>
          <w:p>
            <w:pPr>
              <w:spacing w:line="240" w:lineRule="auto"/>
              <w:jc w:val="left"/>
              <w:rPr>
                <w:rFonts w:ascii="仿宋_GB2312" w:hAnsi="宋体" w:eastAsia="仿宋_GB2312" w:cs="宋体"/>
                <w:kern w:val="0"/>
              </w:rPr>
            </w:pPr>
            <w:r>
              <w:rPr>
                <w:rFonts w:ascii="仿宋_GB2312" w:hAnsi="宋体" w:eastAsia="仿宋_GB2312" w:cs="宋体"/>
                <w:kern w:val="0"/>
              </w:rPr>
              <w:t>202</w:t>
            </w:r>
            <w:r>
              <w:rPr>
                <w:rFonts w:hint="eastAsia" w:ascii="仿宋_GB2312" w:hAnsi="宋体" w:eastAsia="仿宋_GB2312" w:cs="宋体"/>
                <w:kern w:val="0"/>
                <w:lang w:eastAsia="zh-CN"/>
              </w:rPr>
              <w:t>2</w:t>
            </w:r>
            <w:r>
              <w:rPr>
                <w:rFonts w:hint="eastAsia" w:ascii="仿宋_GB2312" w:hAnsi="宋体" w:eastAsia="仿宋_GB2312" w:cs="宋体"/>
                <w:kern w:val="0"/>
              </w:rPr>
              <w:t>年按时完成</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为水运市场提供服务，确保水运市场经济良好有序发展</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确保了市场经济良好有序发展</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7.5</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水上市场经济受大环境影响，力争为经济发展服务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水上交通安全形势基本稳定，港口码头及作业水域正常运营，防止船舶污染水域</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社会效益好</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社会效益广度大，自评绩效范围广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水域生态环境整治见成效</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环境效益好，未破坏生态平衡</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6.8</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全面做到水上环境零污染难度大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对水路交通领域安全巡查、宣传教育及其他行政辅助工作，维护和改善了水上交通通航秩序和通航环境</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维持生态平衡，实现水上市场经济可持续发展。</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6.5</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全面维护水上生态环境有一定难度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ascii="仿宋_GB2312" w:hAnsi="宋体" w:eastAsia="仿宋_GB2312" w:cs="宋体"/>
                <w:kern w:val="0"/>
              </w:rPr>
              <w:t>1.</w:t>
            </w:r>
            <w:r>
              <w:rPr>
                <w:rFonts w:hint="eastAsia" w:ascii="仿宋_GB2312" w:hAnsi="宋体" w:eastAsia="仿宋_GB2312" w:cs="宋体"/>
                <w:kern w:val="0"/>
              </w:rPr>
              <w:t>做到社会或服务公众对象满意</w:t>
            </w:r>
            <w:r>
              <w:rPr>
                <w:rFonts w:ascii="仿宋_GB2312" w:hAnsi="宋体" w:eastAsia="仿宋_GB2312" w:cs="宋体"/>
                <w:kern w:val="0"/>
              </w:rPr>
              <w:t xml:space="preserve"> 2.</w:t>
            </w:r>
            <w:r>
              <w:rPr>
                <w:rFonts w:hint="eastAsia" w:ascii="仿宋_GB2312" w:hAnsi="宋体" w:eastAsia="仿宋_GB2312" w:cs="宋体"/>
                <w:kern w:val="0"/>
              </w:rPr>
              <w:t>社会各界无投诉现象</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公众满意度</w:t>
            </w:r>
            <w:r>
              <w:rPr>
                <w:rFonts w:ascii="仿宋_GB2312" w:hAnsi="宋体" w:eastAsia="仿宋_GB2312" w:cs="宋体"/>
                <w:kern w:val="0"/>
              </w:rPr>
              <w:t>95%</w:t>
            </w:r>
            <w:r>
              <w:rPr>
                <w:rFonts w:hint="eastAsia" w:ascii="仿宋_GB2312" w:hAnsi="宋体" w:eastAsia="仿宋_GB2312" w:cs="宋体"/>
                <w:kern w:val="0"/>
              </w:rPr>
              <w:t>以上，无投诉现象</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9.5</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公众满意度未达到</w:t>
            </w:r>
            <w:r>
              <w:rPr>
                <w:rFonts w:ascii="仿宋_GB2312" w:hAnsi="宋体" w:eastAsia="仿宋_GB2312" w:cs="宋体"/>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pPr>
              <w:spacing w:line="240" w:lineRule="auto"/>
              <w:jc w:val="center"/>
              <w:rPr>
                <w:rFonts w:ascii="仿宋_GB2312" w:eastAsia="仿宋_GB2312"/>
                <w:kern w:val="0"/>
                <w:lang w:eastAsia="zh-CN"/>
              </w:rPr>
            </w:pPr>
            <w:r>
              <w:rPr>
                <w:rFonts w:hint="eastAsia" w:ascii="仿宋_GB2312" w:eastAsia="仿宋_GB2312"/>
                <w:kern w:val="0"/>
                <w:lang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eastAsia="zh-CN"/>
              </w:rPr>
              <w:t>（20分）</w:t>
            </w: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控制在预算范围内、厉行节约</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节约成本，控制在预算内</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6.5</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厉行节约原则，成本控制有待进一步加强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left"/>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水上交通安全形势基本稳定，港口码头及作业水域正常运营，防止船舶污染水域</w:t>
            </w:r>
            <w:r>
              <w:rPr>
                <w:rFonts w:ascii="仿宋_GB2312" w:hAnsi="宋体" w:eastAsia="仿宋_GB2312" w:cs="宋体"/>
                <w:kern w:val="0"/>
              </w:rPr>
              <w:t>,</w:t>
            </w:r>
            <w:r>
              <w:rPr>
                <w:rFonts w:hint="eastAsia" w:ascii="仿宋_GB2312" w:hAnsi="宋体" w:eastAsia="仿宋_GB2312" w:cs="宋体"/>
                <w:kern w:val="0"/>
              </w:rPr>
              <w:t>减少对社会产生的负面影响</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用较低的成本维护社会效益，减少对社会产生的负面影响</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6.5</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社会成本投入有待增加，成本控制加强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left"/>
              <w:rPr>
                <w:rFonts w:ascii="仿宋_GB2312" w:hAnsi="宋体" w:eastAsia="仿宋_GB2312" w:cs="宋体"/>
                <w:kern w:val="0"/>
              </w:rPr>
            </w:pP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水域生态环境整治见成效</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环境效益好，未破坏生态平衡，零投诉。</w:t>
            </w:r>
          </w:p>
        </w:tc>
        <w:tc>
          <w:tcPr>
            <w:tcW w:w="80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w:t>
            </w:r>
          </w:p>
        </w:tc>
        <w:tc>
          <w:tcPr>
            <w:tcW w:w="84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5.5</w:t>
            </w:r>
          </w:p>
        </w:tc>
        <w:tc>
          <w:tcPr>
            <w:tcW w:w="1383"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水上环保无法做到万无一失，全面维护水上生态平衡有一定难度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210" w:firstLineChars="100"/>
              <w:jc w:val="left"/>
              <w:rPr>
                <w:rFonts w:ascii="仿宋_GB2312" w:hAnsi="宋体" w:eastAsia="仿宋_GB2312" w:cs="宋体"/>
                <w:kern w:val="0"/>
                <w:lang w:eastAsia="zh-CN"/>
              </w:rPr>
            </w:pPr>
            <w:r>
              <w:rPr>
                <w:rFonts w:hint="eastAsia" w:ascii="仿宋_GB2312" w:hAnsi="宋体" w:eastAsia="仿宋_GB2312" w:cs="宋体"/>
                <w:kern w:val="0"/>
                <w:lang w:eastAsia="zh-CN"/>
              </w:rPr>
              <w:t>94.8</w:t>
            </w:r>
          </w:p>
        </w:tc>
        <w:tc>
          <w:tcPr>
            <w:tcW w:w="1383" w:type="dxa"/>
            <w:vAlign w:val="center"/>
          </w:tcPr>
          <w:p>
            <w:pPr>
              <w:spacing w:line="240" w:lineRule="auto"/>
              <w:ind w:firstLine="420"/>
              <w:jc w:val="center"/>
              <w:rPr>
                <w:rFonts w:ascii="仿宋_GB2312" w:hAnsi="宋体" w:eastAsia="仿宋_GB2312" w:cs="宋体"/>
                <w:kern w:val="0"/>
              </w:rPr>
            </w:pPr>
          </w:p>
        </w:tc>
      </w:tr>
    </w:tbl>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填表人：熊冬景          填报日期： </w:t>
      </w:r>
      <w:r>
        <w:rPr>
          <w:rFonts w:hint="eastAsia" w:ascii="仿宋_GB2312" w:hAnsi="宋体" w:eastAsia="仿宋_GB2312" w:cs="宋体"/>
          <w:kern w:val="0"/>
          <w:lang w:val="en-US" w:eastAsia="zh-CN"/>
        </w:rPr>
        <w:t>2023.06</w:t>
      </w:r>
      <w:r>
        <w:rPr>
          <w:rFonts w:hint="eastAsia" w:ascii="仿宋_GB2312" w:hAnsi="宋体" w:eastAsia="仿宋_GB2312" w:cs="宋体"/>
          <w:kern w:val="0"/>
          <w:lang w:eastAsia="zh-CN"/>
        </w:rPr>
        <w:t xml:space="preserve">           联系电话：           单位负责人签字:</w:t>
      </w:r>
    </w:p>
    <w:p>
      <w:pPr>
        <w:rPr>
          <w:rFonts w:hint="eastAsia" w:ascii="仿宋_GB2312" w:hAnsi="宋体" w:eastAsia="仿宋_GB2312" w:cs="宋体"/>
          <w:kern w:val="0"/>
          <w:lang w:eastAsia="zh-CN"/>
        </w:rPr>
        <w:sectPr>
          <w:footerReference r:id="rId9" w:type="default"/>
          <w:pgSz w:w="11907" w:h="16839"/>
          <w:pgMar w:top="1531" w:right="1474" w:bottom="1531" w:left="1587" w:header="0" w:footer="1588" w:gutter="0"/>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汨罗市交通运输系统</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hint="eastAsia" w:ascii="Times New Roman" w:hAnsi="Times New Roman" w:eastAsia="宋体" w:cs="Times New Roman"/>
          <w:sz w:val="40"/>
          <w:szCs w:val="40"/>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Times New Roman" w:hAnsi="Times New Roman" w:eastAsia="宋体" w:cs="Times New Roman"/>
          <w:sz w:val="40"/>
          <w:szCs w:val="40"/>
          <w:lang w:eastAsia="zh-CN"/>
        </w:rPr>
        <w:t>汨罗市交通运输系统</w:t>
      </w:r>
    </w:p>
    <w:p>
      <w:pPr>
        <w:spacing w:before="130" w:line="221" w:lineRule="auto"/>
        <w:jc w:val="center"/>
        <w:rPr>
          <w:rFonts w:ascii="黑体" w:hAnsi="黑体" w:eastAsia="黑体" w:cs="黑体"/>
          <w:spacing w:val="16"/>
          <w:sz w:val="40"/>
          <w:szCs w:val="40"/>
        </w:rPr>
      </w:pP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kinsoku w:val="0"/>
        <w:autoSpaceDE w:val="0"/>
        <w:autoSpaceDN w:val="0"/>
        <w:adjustRightInd w:val="0"/>
        <w:snapToGrid w:val="0"/>
        <w:spacing w:before="211" w:line="224" w:lineRule="auto"/>
        <w:jc w:val="both"/>
        <w:textAlignment w:val="baseline"/>
        <w:rPr>
          <w:rFonts w:hint="eastAsia" w:ascii="方正仿宋_GB2312" w:hAnsi="方正仿宋_GB2312" w:eastAsia="方正仿宋_GB2312" w:cs="方正仿宋_GB2312"/>
          <w:b w:val="0"/>
          <w:bCs w:val="0"/>
          <w:snapToGrid w:val="0"/>
          <w:color w:val="000000"/>
          <w:sz w:val="32"/>
          <w:szCs w:val="32"/>
          <w:lang w:val="en-US" w:eastAsia="zh-CN" w:bidi="ar-SA"/>
        </w:rPr>
      </w:pPr>
      <w:r>
        <w:rPr>
          <w:rFonts w:hint="eastAsia" w:ascii="方正仿宋_GB2312" w:hAnsi="方正仿宋_GB2312" w:eastAsia="方正仿宋_GB2312" w:cs="方正仿宋_GB2312"/>
          <w:b w:val="0"/>
          <w:bCs w:val="0"/>
          <w:snapToGrid w:val="0"/>
          <w:color w:val="000000"/>
          <w:sz w:val="32"/>
          <w:szCs w:val="32"/>
          <w:lang w:val="en-US" w:eastAsia="zh-CN" w:bidi="ar-SA"/>
        </w:rPr>
        <w:t>1、基本职能</w:t>
      </w:r>
    </w:p>
    <w:p>
      <w:pPr>
        <w:numPr>
          <w:ilvl w:val="0"/>
          <w:numId w:val="0"/>
        </w:numPr>
        <w:kinsoku w:val="0"/>
        <w:autoSpaceDE w:val="0"/>
        <w:autoSpaceDN w:val="0"/>
        <w:adjustRightInd w:val="0"/>
        <w:snapToGrid w:val="0"/>
        <w:spacing w:before="211" w:line="224" w:lineRule="auto"/>
        <w:jc w:val="both"/>
        <w:textAlignment w:val="baseline"/>
        <w:rPr>
          <w:rFonts w:hint="eastAsia" w:ascii="方正仿宋_GB2312" w:hAnsi="方正仿宋_GB2312" w:eastAsia="方正仿宋_GB2312" w:cs="方正仿宋_GB2312"/>
          <w:b w:val="0"/>
          <w:bCs w:val="0"/>
          <w:snapToGrid w:val="0"/>
          <w:color w:val="000000"/>
          <w:sz w:val="32"/>
          <w:szCs w:val="32"/>
          <w:lang w:val="en-US" w:eastAsia="zh-CN" w:bidi="ar-SA"/>
        </w:rPr>
      </w:pPr>
      <w:r>
        <w:rPr>
          <w:rFonts w:hint="eastAsia" w:ascii="方正仿宋_GB2312" w:hAnsi="方正仿宋_GB2312" w:eastAsia="方正仿宋_GB2312" w:cs="方正仿宋_GB2312"/>
          <w:b w:val="0"/>
          <w:bCs w:val="0"/>
          <w:snapToGrid w:val="0"/>
          <w:color w:val="000000"/>
          <w:sz w:val="32"/>
          <w:szCs w:val="32"/>
          <w:lang w:val="en-US" w:eastAsia="zh-CN" w:bidi="ar-SA"/>
        </w:rPr>
        <w:t>汨罗市交通运输局主要职能有：一、承担涉及综合运输体系的规划协调工作，会同有关部门组织编制全市综合运输体系规划，指导交通运输枢纽规划和管理。二、组织拟订并监督实施全市道路、水路等行业发展规划、规章制度和标准。参与拟订物流业发展战略和规划，拟定有关规章制度并监督实施。负责交通运输执法检查和监督，负责农村公路路政管理，保护公路产权；协同有关部门规划公路沿线开发区和各种建筑设施。指导全市公路、水路行业有关体制改革工作。负责综合协调有关邮政的重大问题。三、承担道路、水路运输市场监管职责。负责全市道路（水路）客货运输、机动车维修、船舶修造、驾驶培训、客（货）站场、港口码头等行业管理工作。组织制定报批全市道路、水路运输有关政策和运营规范并监督实施。指导全市城乡客运及有关设施规划和管理工作，负责城市公共交通运输管理工作。四、承担水上交通安全监管责任。负责全市港口、航道及航道设施的建设、维护、管理，负责水上交通管制、港航监督、船舶检验（不含渔船）、水上安全管理，负责船员管理有关工作，实施港航设施建设使用岸线和通航水域内各种建筑设施建设的行业管理。五、指导全市公路、水路行业安全生产和应急管理工作和系统内部社会治安综合治理工作。按规定组织协调全市重点物资和紧急客货运输，按权限负责全市地方公路路网运行监测和协调，负责全市国防交通战备工作。六、负责提出全市公路、水路固定资产投资方向和规模及市级财政性资金安排建议，按市政府规定权限审批、核准全市规划内和年度计划规模内固定资产投资项目，负责公路、桥梁、渡口、隧道的行业管理，提出有关财政、土地、价格等政策建议。七、承担公路、水路建设市场监管责任。拟定报批全市公路、水路工程建设相关制度和技术标准并监督实施。按权限组织实施国家、省、市、县的公路、水路交通工程建设，负责公路、水路交通建设工程造价控制和工程质量、安全生产的监督管理。指导交通运输基础设施管理和维护，承担有关重要设施的管理和维护，负责交通建设资金的筹集、拨付和监管。八、负责全市交通运输行业科技工作。指导全市交通运输信息化建设，监测分析运行情况，开展相关统计工作，发布有关信息。指导公路、水路行业环境保护和节能减排工作。九、指导交通运输行业开展对外交流合作和交通外经外贸工作。十、按照干部管理权限，负责本系统干部人事管理；组织、协调局属单位劳动工资、机构编制、离退休干部管理；负责局属单位党群工作和纪检、监察工作；指导交通运输行业的精神文明建设和职工队伍建设，组织指导交通运输待业人才预测、教育、培训、交流工作。十一、承办市委、市人民政府及上级交通运输主管部门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2022年度财政拨款基本支出315</w:t>
      </w:r>
      <w:r>
        <w:rPr>
          <w:rFonts w:hint="eastAsia" w:ascii="Times New Roman" w:hAnsi="Times New Roman" w:eastAsia="仿宋_GB2312"/>
          <w:kern w:val="0"/>
          <w:sz w:val="32"/>
          <w:szCs w:val="32"/>
          <w:lang w:val="en-US" w:eastAsia="zh-CN"/>
        </w:rPr>
        <w:t>8</w:t>
      </w:r>
      <w:r>
        <w:rPr>
          <w:rFonts w:hint="eastAsia" w:ascii="Times New Roman" w:hAnsi="Times New Roman" w:eastAsia="仿宋_GB2312"/>
          <w:kern w:val="0"/>
          <w:sz w:val="32"/>
          <w:szCs w:val="32"/>
          <w:lang w:eastAsia="zh-CN"/>
        </w:rPr>
        <w:t>.3</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lang w:eastAsia="zh-CN"/>
        </w:rPr>
        <w:t>万元，其中：人员经费2642.06万元，占基本支出的83.6</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lang w:eastAsia="zh-CN"/>
        </w:rPr>
        <w:t>%,主要包括基本工资、津贴补贴、奖金、伙食补助费、绩效工资、机关事业单位基本养老保险缴费、职业年金缴费、职工基本医疗保险缴费、其他社会保障缴费、住房公积金、生活补助、奖励金、其他对个人和家庭的补助。公用经费517.29万元，占基本支出的16.3</w:t>
      </w:r>
      <w:r>
        <w:rPr>
          <w:rFonts w:hint="eastAsia" w:ascii="Times New Roman" w:hAnsi="Times New Roman" w:eastAsia="仿宋_GB2312"/>
          <w:kern w:val="0"/>
          <w:sz w:val="32"/>
          <w:szCs w:val="32"/>
          <w:lang w:val="en-US" w:eastAsia="zh-CN"/>
        </w:rPr>
        <w:t>8</w:t>
      </w:r>
      <w:r>
        <w:rPr>
          <w:rFonts w:hint="eastAsia" w:ascii="Times New Roman" w:hAnsi="Times New Roman" w:eastAsia="仿宋_GB2312"/>
          <w:kern w:val="0"/>
          <w:sz w:val="32"/>
          <w:szCs w:val="32"/>
          <w:lang w:eastAsia="zh-CN"/>
        </w:rPr>
        <w:t>%，主要包括办公费、印刷费、水费、电费、邮电费、差旅费、维修（护）费、会议费、培训费、公务接待费、工会经费、其他交通费用、其他商品和服务支出。</w:t>
      </w:r>
    </w:p>
    <w:p>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022年汨罗市交通运输系统项目支出12558.6</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lang w:eastAsia="zh-CN"/>
        </w:rPr>
        <w:t>万元，均为交通运输支出，2022年年初预算资金全部专款专项使用完毕。交通专项资金做到专项专用，设立各项目执行负责人，制定相关制度，严格按程序管理专项资金，每一笔资金的投入达到年初预定目标，为行政运行畅通、各项目任务完成提供经济基础。</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我单位无政府性基金预算收支。</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我单位无国有资本经营预算收支</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我单位无社会保险基金预算收支。</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2022年，局党组以习近平新时代中国特色社会主义思想为指导，在市委、市政府的领导和省交通运输厅的关心支持下，团结带领全系统干部职工，加快交通高质量发展，加速项目建设，加强行业管理，完成了全年工作目标任务。具体情况如下：</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1、国省干线项目。平益高速、骆驼大道二期于11月28日同步实现全线通车目标；S313汨罗桃林至白塘公路已完成工可批复、施工设计图批复等前期工作，正在进行财评，年内将启动招投标，年后完成招投标即可施工建设；S508、S319路面改善工程项目均已进场施工建设，力争年内全面完成建设。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2、民生实事项目。完成县道X047大中修、八景洞省级森林公园旅游通景公路、145公里资源路产业路旅游路、103公里农村公路生命防护工程和4座危旧桥梁改造建设任务。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3、水运建设项目。营田码头提质改造工程年内可完成施工建设；磊石集散中心项目，正在积极推进中；汨罗港进港航道建设项目在同步开展其他各项专项前期工作。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4、客货邮项目。在市客运总站建成面积达4000余平方米，集信息中心、分拣中心和电商直播等功能一体的市级农村客货邮融合发展运营中心，沿全市30条城乡巴士运营线路利用邮政站点、交通站场、社会快递站点、小商超等在全市157个行政村（社区）建成客货邮镇村服务站164个，充分发挥邮政集团汨罗分公司和众捷汽车运输公司国有企业在改革创新中的引领作用，推动与圆通、申通、中通、韵达、极兔等社会快递企业达成合作协议，通过采取节点网络共享、末端线路共配、运力资源共用的模式，构建了市、镇、村三级客货邮物流寄递新业态，实现了下行快件当日到、当日达、免费取，上行快件不出村、当日寄、当日送，彻底打通了工业品下村“最后一公里”和农产品进城“最初一公里”。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5、扎实推进交通问题顽瘴痼疾整治。全面提升科技治超水平，扎实推进3套非现场不停车检测系统新建项目建设；积极推进安全隐患整治。一是全面推进国省干线路域安全环境整治，二是全面推进公路安全标志标牌集中整治。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6、深化推进农村公路养护体制改革。建立了全市农村公路台帐，完成了农村公路管理制度、农村公路养护考核办法及“四好农村路”发展规划的编制工作，构建了涵盖县、乡、村三级“上下联动、数据共享、业务协同”的农村公路智能化养护管理系统。积极在汨罗镇、桃林寺镇开展改革试点工作，当前，试点乡镇各配套设施及工作人员均已落实到位，并由每个乡镇提供2条乡道、所辖各村各提供1条村道作为试点道路，5.42公里乡道和87.73公里村道交由市农村公路养护中心标准化养护后已移交所属镇村进行试点管养，正在深入探索实践。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7、行业管理上。制定出台《汨罗市市管交通建设工程项目联合监管机制》，切实增强交通建设工程项目监管合力，提高事中事后监管效能。监督全市31家一、二、三类维修经营者将数据实时归集上传至汽车维修电子健康档案系统，监考道路运输从业人员资质考试16场，对备案许可企业展开日常巡查80余次，下达整改通知7起。扎实开展路警联合治超（含G107国道超限超载联合治理）、打非治违、驾培维修市场治理等专项行动，全年共查处非法营运车辆48台次、外地教练车异地培训案件3起、车辆维修企业违法案件6起，共检测货运车辆14023台次，查处改拼装车辆93台次、超限超载货运车辆394台次，卸载货物3908.33吨，有力维护了道路运输市场秩序。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8、服务改革上。积极完善优化公共设施，全面提升服务质量效能，全力推动罗城公交大院首末站、老火车站广场公交枢纽站、星火汽车站公交停保场项目建设，规划开通汨罗至营田、汨罗至弼时配套园、汨罗至长沙定制客运服务路线。进一步完善优化推进道路货运车辆网上年度审验，积极加强道路运输“三类九证”电子证照应用推广办理，全年通过网络完成企业（含个体）普货运输经营许可、机动车维修备案、道路运输证件年审等行政审批事项2896余项，办理申领《道路运输证》等电子证照800件。                                     </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 xml:space="preserve">9、筑牢疫情防控阵线。交通运输作为阻击新冠肺炎疫情的中坚力量，全系统广大党员干部职工慎始如终在交通运输“三站一场”、高速国省干线重点进出口疫情防控前沿阵地，严格按照市委市政府的有关决策部署值班值守，积极落实各项防控措施政策，同时，组织专班专人督促交通运输行业中高风险岗位人员严格按照上级规定频次开展核酸检测。特别是在10月本市爆发的新冠疫情中，交通运输系统组织各类应急人员500多人次、转运车辆近200台次，转运密切接触人员700多人、工作人员500多人次、学生1000余人和核酸样本30批次，为全市打赢疫情防控阻击战提供了有力保障。                 </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单位绩效良好实现还需要人力和财力的支持，单位运转经费不足，部分工作经费无来源保障，难以保障正常运转和交通基础设施建设需要。</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本单位将按照预算规定的项目和用途严格财务审核，经费支出严格按预算规定项目的财务支出内容进行财务核算，逐步细化量化绩效评价指标体系，加强预算支出绩效评价，以绩效评价规范经费使用。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建议：建议财政足额预算交通运输系统经费，为推进交通运输高质量发展，为“交通成为中国现代化的开路先锋”提供资金支持。</w:t>
      </w:r>
    </w:p>
    <w:p>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汨罗市交通运输系统</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主要包括交通运输项目支出</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2022年初预算资金全部专款专项使用完毕，交通专项资金做到专项专用，设立各项目执行负责人，制定相关制度，严格按程序管理专项资金，每一笔资金的投入达到年初预定目标，为行政运行畅通、各项目任务完成提供经济基础。</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全年认真组织，精心准备，较好完成了计划内规定的各项工作，高质量地完成了年初设定的整体产出指标、效益指标和满意度指标。项目立项程序完整、规范，绩效目标明确合理，预算执行及时有效，为有关部门决策提供了较为有力的支撑，绩效目标得到较好实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根据财政预算绩效管理要求，我单位认真总结归纳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在部门决算中反映“铁路沿线安全环境隐患整治”、“四类人群免费乘车补贴”和“城乡公交低票价及四类人员优补”</w:t>
      </w:r>
      <w:r>
        <w:rPr>
          <w:rFonts w:hint="eastAsia" w:ascii="方正仿宋_GB2312" w:hAnsi="方正仿宋_GB2312" w:eastAsia="方正仿宋_GB2312" w:cs="方正仿宋_GB2312"/>
          <w:b w:val="0"/>
          <w:bCs w:val="0"/>
          <w:spacing w:val="-15"/>
          <w:sz w:val="31"/>
          <w:szCs w:val="31"/>
          <w:lang w:eastAsia="zh-CN"/>
        </w:rPr>
        <w:t>、“农村公路建设与养护”、“治超专项”、“船舶污染物接收经费”</w:t>
      </w:r>
      <w:r>
        <w:rPr>
          <w:rFonts w:hint="eastAsia" w:ascii="方正仿宋_GB2312" w:hAnsi="方正仿宋_GB2312" w:eastAsia="方正仿宋_GB2312" w:cs="方正仿宋_GB2312"/>
          <w:b w:val="0"/>
          <w:bCs w:val="0"/>
          <w:spacing w:val="-15"/>
          <w:sz w:val="31"/>
          <w:szCs w:val="31"/>
          <w:lang w:val="en-US" w:eastAsia="zh-CN"/>
        </w:rPr>
        <w:t>6</w:t>
      </w:r>
      <w:r>
        <w:rPr>
          <w:rFonts w:hint="eastAsia" w:ascii="方正仿宋_GB2312" w:hAnsi="方正仿宋_GB2312" w:eastAsia="方正仿宋_GB2312" w:cs="方正仿宋_GB2312"/>
          <w:b w:val="0"/>
          <w:bCs w:val="0"/>
          <w:spacing w:val="-15"/>
          <w:sz w:val="31"/>
          <w:szCs w:val="31"/>
        </w:rPr>
        <w:t>个项目绩效自评结果。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铁路沿线安全环境隐患整治项目绩效自评综述：根据年初设定的绩效目标，项目绩效自评得分为100分。项目全年预算数为100万元，执行数为100万元，完成预算的100%。项目绩效目标完成情况：为认真贯彻落实习近平总书记对铁路沿线隐患综合整治的重要批示要求以及陈飞副省长在全省普铁人行通道建设及环境整治电视电话会议上的讲话精神，自2019年9月，根据省政府、岳阳市、，汨罗市委、市政府政府的统一部署，由交通运输局牵头各成员单位，按要求完成了高铁安全环境隐患集中整治、普铁环境类安全隐患集中整治、普铁建设移交类安全隐患集中整治等重难点问题整治。2022年，完成了川山坪镇K1530+896平交道口改立交工程、川山坪镇K1530+905处铁路涵洞建设、K1486+200、K1506+030、K1505+620 3处栅栏缺口整改 、铁路铁路道口安全和铁路运输安全管理培训1次。实施情况良好，完成情况全部按照《湖南省人民政府办公厅关于印发湖南省开展铁路沿线安全环境整治工作实施方案的通知》(湘政办发〔2020〕48号) 文件文件规定进行，指标基本达标。评价结果表明，铁路安全环境隐患整治资金管理使用规范、效果明显。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四类人群免费乘车补贴项目绩效自评综述：根据年初设定的绩效目标，项目绩效自评得分为100 分。项目全年预算数为200万元，执行数为359.6万元，完成预算的179.8%。项目绩效目标完成情况：我市残疾人及65岁以上老年人等特殊群体实行不限次数免费乘车，此项惠民政策让我市特殊群体的日常出行得到真正的实惠，此项民心工程得到了社会的高度赞扬，全市人民为政府此项民心工程点赞。市民满意率,97%，优质服务100%，安全舒适100%。发现的主要问题及原因：预算资金安排不足，四类人群免费乘车项目财政拨付200万元，2022年残疾人、老年人等特殊群体实行不限次数免费乘车实际支出359.6万元，造成企业亏损159.6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城乡公交低票价及四类人员优免补贴项目绩效自评综述：根据年初设定的绩效目标，项目绩效自评得分为100分。项目全年预算数为300万元，执行数为698.28万元，完成预算的232.76%。项目绩效目标完成情况：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1、实现了全市行政村社区城乡一体化班线全域覆盖。                                                                           汨罗市城乡客运一体化创建工作启动后，实行公车公营，自2019年春运投入运营后，现已开通城乡一体化客运班线26条，各线路每天发班4-20班次，实现了汨罗市154个行政村全覆盖。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2、解决了城乡居民“出行难”问题，推动城乡融合发展。实现了建制镇每1小时、建制村每2小时有1趟城乡公交车发往城区，65岁以上老人和残障人士、现役军人免费乘车，学生半价优惠，最高票价不超过6元。群众获得感切实增强，满意度提升。公交先行，不仅解决了群众“出行难”问题，也为乡村医疗、教育、文化等事业发展铺路奠基，加快基本公共服务均等化步伐，有力推动城乡融合发展，区域协调共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3、弘扬了绿色节能环保生活新风尚。城乡客运一体化运营巴士统一选用新能源车。新能源车运行平稳，节能环保，舒适便捷，2022年1-12月，城乡公交班线平均日发班163个，共发送旅客180万人次，班车实载率达到45%，城乡公交逐渐成为人民群众出行首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 xml:space="preserve">4、助力脱贫攻坚、乡村振兴战略。城乡客运巴士运营线路将城市、乡村、园区、景区紧密相连，开通了进城务工人员、景区景点定制公交。深化交通运输与农资、供销、电商、邮政等行业合作，带动农产品进城和工业产品下乡，为决胜脱贫攻坚、实施乡村振兴战略提供有有力支撑。发现的主要问题及原因：预算资金安排不足，城乡公交低票价及四类人员优免补贴项目财政拨付300万元，2022年残疾人、老年人等特殊群体实行不限次数免费乘车实际支出698.28万元，造成企业亏损398.28万元。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2022年度农村公路养护大中修51.3公里，完成投资1470万元，小修保养2112公里，完成投资1297万元，清罐缝工程96.8公里，完成投资97万元，资源产业路159.9公里，完成投资3414.2元。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湖南清源环保船舶污染物接收有限公司船舶生活垃圾和污染接收、转运和处置进行第三方服务期间，</w:t>
      </w:r>
      <w:r>
        <w:rPr>
          <w:rFonts w:hint="eastAsia" w:ascii="方正仿宋_GB2312" w:hAnsi="方正仿宋_GB2312" w:eastAsia="方正仿宋_GB2312" w:cs="方正仿宋_GB2312"/>
          <w:b w:val="0"/>
          <w:bCs w:val="0"/>
          <w:spacing w:val="-15"/>
          <w:sz w:val="31"/>
          <w:szCs w:val="31"/>
          <w:lang w:eastAsia="zh-CN"/>
        </w:rPr>
        <w:t>汨罗市水运事务中心</w:t>
      </w:r>
      <w:r>
        <w:rPr>
          <w:rFonts w:hint="eastAsia" w:ascii="方正仿宋_GB2312" w:hAnsi="方正仿宋_GB2312" w:eastAsia="方正仿宋_GB2312" w:cs="方正仿宋_GB2312"/>
          <w:b w:val="0"/>
          <w:bCs w:val="0"/>
          <w:spacing w:val="-15"/>
          <w:sz w:val="31"/>
          <w:szCs w:val="31"/>
        </w:rPr>
        <w:t>2022年没有收到电子平台的负面意见和电话举报。2022年7和12月，市交通运输局组织财政、农业农村、城管、湿地等涉水单位对湖南清源环保船舶污染物接收有限公司工作开展情况进行了联合考核，考核结果为合格。根据财政预算绩效管理要求，我单位全年认真组织，精心准备，较好完成了计划内规定的各项工作， 高质量地完成了年初设定的项目产出指标、项目效益指标和满意度指标，负责好辖区水域的水上环保，守护好“一江碧水。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rPr>
      </w:pPr>
      <w:r>
        <w:rPr>
          <w:rFonts w:hint="eastAsia" w:ascii="方正仿宋_GB2312" w:hAnsi="方正仿宋_GB2312" w:eastAsia="方正仿宋_GB2312" w:cs="方正仿宋_GB2312"/>
          <w:b w:val="0"/>
          <w:bCs w:val="0"/>
          <w:spacing w:val="-15"/>
          <w:sz w:val="31"/>
          <w:szCs w:val="31"/>
        </w:rPr>
        <w:t>交通执法大队共计完成打击非法营运专项19.43万元，治超专项经费30万元，执法服装经费10万元</w:t>
      </w:r>
      <w:r>
        <w:rPr>
          <w:rFonts w:hint="eastAsia" w:ascii="方正仿宋_GB2312" w:hAnsi="方正仿宋_GB2312" w:eastAsia="方正仿宋_GB2312" w:cs="方正仿宋_GB2312"/>
          <w:b w:val="0"/>
          <w:bCs w:val="0"/>
          <w:spacing w:val="-15"/>
          <w:sz w:val="31"/>
          <w:szCs w:val="31"/>
          <w:lang w:eastAsia="zh-CN"/>
        </w:rPr>
        <w:t>，在实施项目过程中取得了较好的效果。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2022年项目支出12558.64万元，均为交通运输支出，汨罗市交通运输局系统2022年度重点项目6个：城乡公交低票价及四类人员优免补贴、四类人群免费乘车补贴、铁路沿线安全环境隐患整治、农村公路建设与养护、治超专项、船舶污染物接收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全部按要求完成所有项目的实施。</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420" w:leftChars="200" w:firstLine="0" w:firstLineChars="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eastAsia="zh-CN"/>
        </w:rPr>
      </w:pPr>
      <w:bookmarkStart w:id="0" w:name="_GoBack"/>
      <w:r>
        <w:rPr>
          <w:rFonts w:hint="eastAsia" w:eastAsia="仿宋_GB2312"/>
          <w:kern w:val="0"/>
          <w:sz w:val="32"/>
          <w:szCs w:val="32"/>
          <w:lang w:eastAsia="zh-CN"/>
        </w:rPr>
        <w:t>铁路沿线安全环境隐患整治工作经费100万元，按照整治工作要求，完成了1处平交道口改立工程、1处铁路涵洞建设、3处栅栏缺口建设；四类人群免费乘车补贴359.6万元，我市残疾人及65岁以上老年人等特殊群体实行不限次数免费乘车此项惠民政策让我市特殊群体的日常出行得到真正的实惠，此项民心工程得到了社会的高度赞扬，全市人民为政府此项民心工程点赞。市民满意率》95%，优质服务100%，安全舒适100%；城乡公交及四类人员优免补贴698.28万元，城乡巴士运营后，票价在改革前的基础上大幅度下降，全部按里程执行2、4、6元的阶梯票价，对65岁以上老人、残疾人、现役军人实行免费，对学生实行半价优惠，广大群众获得了实实在在的实惠，广大农村居民也享受到了城市居民的公共交通服务。同时，全面改变了过来农村客运班线乱停乱靠、乱提票价、管理混乱的局面，群众出行更方便、更实惠、更安全、更舒适，城乡巴士在群众中获得了良好口碑。农村公路建设与养护项目招投标手续由市农村公路养护中心组织，项目实施由汨罗市交通公路工程建设有限公司负责，验收由市农村公路养护中心进行监管；治超专项经费、打击非法运营专项经费由交通运输综合执法大队单位负责人牵头，成立专项资金领导小组，严格财经手续，建立健全财经管理制度；水运事务中心成立安全办公室，对渡口渡船等水上企业、水上船舶进行安全检查，消除隐患；同时对船舶污染物接收工作进行监督和督查，确保所辖水域的环保，规范各项开支制度，做到专款专用。</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项目的实施，在经济效益、社会效益、生态效益和可持续影响方面取得了较好效果，维护了生态平衡，实现了经济可持续发展，社会公众或服务公众满意度高。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整体支出绩效存在的问题及原因分析为：单位绩效良好实现还需要人力和财力的支持，单位运转经费不足，部分工作经费无来源保障，难以保障正常运转和交通基础设施建设需要。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类人群免费乘车补贴项目支出绩效存在的问题及原因分析为：预算资金安排不足，四类人群免费乘车项目财政拨付200万元，2022年残疾人、老年人等特殊群体实行不限次数免费乘车实际支出359.6万元，造成企业亏损159.6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 xml:space="preserve">城乡公交低票价及四类人员优免补贴项目支出绩效存在的问题及原因分析为：预算资金安排不足，城乡公交低票价及四类人员优免补贴项目财政拨付300万元，2022年残疾人、老年人等特殊群体实行不限次数免费乘车实际支出698.28万元，造成企业亏损398.28万元。 </w:t>
      </w:r>
      <w:r>
        <w:rPr>
          <w:rFonts w:hint="eastAsia" w:eastAsia="仿宋_GB2312" w:cs="Arial"/>
          <w:snapToGrid w:val="0"/>
          <w:color w:val="000000"/>
          <w:kern w:val="0"/>
          <w:sz w:val="32"/>
          <w:szCs w:val="32"/>
          <w:lang w:val="en-US" w:eastAsia="zh-CN" w:bidi="ar-SA"/>
        </w:rPr>
        <w:t xml:space="preserve">  </w:t>
      </w:r>
      <w:r>
        <w:rPr>
          <w:rFonts w:hint="eastAsia" w:ascii="黑体" w:hAnsi="黑体" w:eastAsia="黑体" w:cs="黑体"/>
          <w:snapToGrid w:val="0"/>
          <w:color w:val="000000"/>
          <w:kern w:val="0"/>
          <w:sz w:val="32"/>
          <w:szCs w:val="32"/>
          <w:lang w:val="en-US" w:eastAsia="zh-CN" w:bidi="ar-SA"/>
        </w:rPr>
        <w:t>六</w:t>
      </w:r>
      <w:r>
        <w:rPr>
          <w:rFonts w:hint="eastAsia" w:eastAsia="仿宋_GB2312" w:cs="Arial"/>
          <w:snapToGrid w:val="0"/>
          <w:color w:val="000000"/>
          <w:kern w:val="0"/>
          <w:sz w:val="32"/>
          <w:szCs w:val="32"/>
          <w:lang w:val="en-US" w:eastAsia="zh-CN" w:bidi="ar-SA"/>
        </w:rPr>
        <w:t>、</w:t>
      </w:r>
      <w:r>
        <w:rPr>
          <w:rFonts w:ascii="黑体" w:hAnsi="黑体" w:eastAsia="黑体" w:cs="黑体"/>
          <w:b/>
          <w:bCs/>
          <w:spacing w:val="-15"/>
          <w:sz w:val="31"/>
          <w:szCs w:val="31"/>
        </w:rPr>
        <w:t>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方正仿宋_GB2312" w:hAnsi="方正仿宋_GB2312" w:eastAsia="方正仿宋_GB2312" w:cs="方正仿宋_GB2312"/>
          <w:b w:val="0"/>
          <w:bCs w:val="0"/>
          <w:spacing w:val="-15"/>
          <w:sz w:val="31"/>
          <w:szCs w:val="31"/>
          <w:lang w:eastAsia="zh-CN"/>
        </w:rPr>
      </w:pPr>
      <w:r>
        <w:rPr>
          <w:rFonts w:hint="eastAsia" w:ascii="方正仿宋_GB2312" w:hAnsi="方正仿宋_GB2312" w:eastAsia="方正仿宋_GB2312" w:cs="方正仿宋_GB2312"/>
          <w:b w:val="0"/>
          <w:bCs w:val="0"/>
          <w:spacing w:val="-15"/>
          <w:sz w:val="31"/>
          <w:szCs w:val="31"/>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280" w:firstLineChars="100"/>
        <w:textAlignment w:val="baseline"/>
        <w:outlineLvl w:val="0"/>
        <w:rPr>
          <w:rFonts w:hint="eastAsia" w:ascii="黑体" w:hAnsi="黑体" w:eastAsia="黑体" w:cs="黑体"/>
          <w:b/>
          <w:bCs/>
          <w:spacing w:val="-15"/>
          <w:sz w:val="31"/>
          <w:szCs w:val="31"/>
          <w:lang w:eastAsia="zh-CN"/>
        </w:rPr>
      </w:pPr>
      <w:r>
        <w:rPr>
          <w:rFonts w:hint="eastAsia" w:ascii="方正仿宋_GB2312" w:hAnsi="方正仿宋_GB2312" w:eastAsia="方正仿宋_GB2312" w:cs="方正仿宋_GB2312"/>
          <w:b w:val="0"/>
          <w:bCs w:val="0"/>
          <w:spacing w:val="-15"/>
          <w:sz w:val="31"/>
          <w:szCs w:val="31"/>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bCs/>
          <w:spacing w:val="-15"/>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600647B-ECCE-4C90-8D43-3AB2AD77F7DB}"/>
  </w:font>
  <w:font w:name="黑体">
    <w:panose1 w:val="02010609060101010101"/>
    <w:charset w:val="86"/>
    <w:family w:val="auto"/>
    <w:pitch w:val="default"/>
    <w:sig w:usb0="800002BF" w:usb1="38CF7CFA" w:usb2="00000016" w:usb3="00000000" w:csb0="00040001" w:csb1="00000000"/>
    <w:embedRegular r:id="rId2" w:fontKey="{73671F25-2100-40CE-8165-D9B640422E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FFCEC070-391B-4C30-A1ED-FC372FE6B0DD}"/>
  </w:font>
  <w:font w:name="仿宋_GB2312">
    <w:altName w:val="仿宋"/>
    <w:panose1 w:val="02010609030101010101"/>
    <w:charset w:val="86"/>
    <w:family w:val="modern"/>
    <w:pitch w:val="default"/>
    <w:sig w:usb0="00000000" w:usb1="00000000" w:usb2="00000000" w:usb3="00000000" w:csb0="00040000" w:csb1="00000000"/>
    <w:embedRegular r:id="rId4" w:fontKey="{0FC94C16-560A-4BCB-BEE1-4395B63B209E}"/>
  </w:font>
  <w:font w:name="方正小标宋简体">
    <w:altName w:val="黑体"/>
    <w:panose1 w:val="03000509000000000000"/>
    <w:charset w:val="86"/>
    <w:family w:val="script"/>
    <w:pitch w:val="default"/>
    <w:sig w:usb0="00000000" w:usb1="00000000" w:usb2="00000000" w:usb3="00000000" w:csb0="00040000" w:csb1="00000000"/>
    <w:embedRegular r:id="rId5" w:fontKey="{3999421B-E994-40B2-A658-EF347D6D096F}"/>
  </w:font>
  <w:font w:name="方正仿宋_GB2312">
    <w:panose1 w:val="02000000000000000000"/>
    <w:charset w:val="86"/>
    <w:family w:val="auto"/>
    <w:pitch w:val="default"/>
    <w:sig w:usb0="A00002BF" w:usb1="184F6CFA" w:usb2="00000012" w:usb3="00000000" w:csb0="00040001" w:csb1="00000000"/>
    <w:embedRegular r:id="rId6" w:fontKey="{F5B99630-C424-4E31-8354-3E95EBB04CD9}"/>
  </w:font>
  <w:font w:name="楷体_GB2312">
    <w:altName w:val="楷体"/>
    <w:panose1 w:val="02010609030101010101"/>
    <w:charset w:val="86"/>
    <w:family w:val="modern"/>
    <w:pitch w:val="default"/>
    <w:sig w:usb0="00000000" w:usb1="00000000" w:usb2="00000000" w:usb3="00000000" w:csb0="00040000" w:csb1="00000000"/>
    <w:embedRegular r:id="rId7" w:fontKey="{D4C76351-410F-4421-8B64-914667914D96}"/>
  </w:font>
  <w:font w:name="楷体">
    <w:panose1 w:val="02010609060101010101"/>
    <w:charset w:val="86"/>
    <w:family w:val="auto"/>
    <w:pitch w:val="default"/>
    <w:sig w:usb0="800002BF" w:usb1="38CF7CFA" w:usb2="00000016" w:usb3="00000000" w:csb0="00040001" w:csb1="00000000"/>
    <w:embedRegular r:id="rId8" w:fontKey="{0C989A1C-04E8-447D-A6F5-8179A5EE60DB}"/>
  </w:font>
  <w:font w:name="方正黑体_GBK">
    <w:altName w:val="微软雅黑"/>
    <w:panose1 w:val="03000509000000000000"/>
    <w:charset w:val="86"/>
    <w:family w:val="script"/>
    <w:pitch w:val="default"/>
    <w:sig w:usb0="00000000" w:usb1="00000000" w:usb2="00000000" w:usb3="00000000" w:csb0="00040000" w:csb1="00000000"/>
    <w:embedRegular r:id="rId9" w:fontKey="{9B636727-BCC0-4C27-AC41-90F59776D77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5FC44"/>
    <w:multiLevelType w:val="singleLevel"/>
    <w:tmpl w:val="92E5FC44"/>
    <w:lvl w:ilvl="0" w:tentative="0">
      <w:start w:val="3"/>
      <w:numFmt w:val="chineseCounting"/>
      <w:lvlText w:val="(%1)"/>
      <w:lvlJc w:val="left"/>
      <w:pPr>
        <w:tabs>
          <w:tab w:val="left" w:pos="312"/>
        </w:tabs>
      </w:pPr>
      <w:rPr>
        <w:rFonts w:hint="eastAsia"/>
      </w:rPr>
    </w:lvl>
  </w:abstractNum>
  <w:abstractNum w:abstractNumId="1">
    <w:nsid w:val="DF121601"/>
    <w:multiLevelType w:val="singleLevel"/>
    <w:tmpl w:val="DF121601"/>
    <w:lvl w:ilvl="0" w:tentative="0">
      <w:start w:val="2"/>
      <w:numFmt w:val="chineseCounting"/>
      <w:suff w:val="nothing"/>
      <w:lvlText w:val="（%1）"/>
      <w:lvlJc w:val="left"/>
      <w:rPr>
        <w:rFonts w:hint="eastAsia"/>
      </w:rPr>
    </w:lvl>
  </w:abstractNum>
  <w:abstractNum w:abstractNumId="2">
    <w:nsid w:val="F4DF7049"/>
    <w:multiLevelType w:val="singleLevel"/>
    <w:tmpl w:val="F4DF7049"/>
    <w:lvl w:ilvl="0" w:tentative="0">
      <w:start w:val="1"/>
      <w:numFmt w:val="chineseCounting"/>
      <w:suff w:val="nothing"/>
      <w:lvlText w:val="%1、"/>
      <w:lvlJc w:val="left"/>
      <w:rPr>
        <w:rFonts w:hint="eastAsia"/>
      </w:rPr>
    </w:lvl>
  </w:abstractNum>
  <w:abstractNum w:abstractNumId="3">
    <w:nsid w:val="F740A492"/>
    <w:multiLevelType w:val="singleLevel"/>
    <w:tmpl w:val="F740A492"/>
    <w:lvl w:ilvl="0" w:tentative="0">
      <w:start w:val="4"/>
      <w:numFmt w:val="chineseCounting"/>
      <w:suff w:val="nothing"/>
      <w:lvlText w:val="%1、"/>
      <w:lvlJc w:val="left"/>
      <w:rPr>
        <w:rFonts w:hint="eastAsia"/>
      </w:rPr>
    </w:lvl>
  </w:abstractNum>
  <w:abstractNum w:abstractNumId="4">
    <w:nsid w:val="1EE3BF31"/>
    <w:multiLevelType w:val="singleLevel"/>
    <w:tmpl w:val="1EE3BF31"/>
    <w:lvl w:ilvl="0" w:tentative="0">
      <w:start w:val="2"/>
      <w:numFmt w:val="chineseCounting"/>
      <w:suff w:val="nothing"/>
      <w:lvlText w:val="（%1）"/>
      <w:lvlJc w:val="left"/>
      <w:rPr>
        <w:rFonts w:hint="eastAsia"/>
      </w:rPr>
    </w:lvl>
  </w:abstractNum>
  <w:abstractNum w:abstractNumId="5">
    <w:nsid w:val="61EEEBFE"/>
    <w:multiLevelType w:val="singleLevel"/>
    <w:tmpl w:val="61EEEBFE"/>
    <w:lvl w:ilvl="0" w:tentative="0">
      <w:start w:val="3"/>
      <w:numFmt w:val="chineseCounting"/>
      <w:lvlText w:val="(%1)"/>
      <w:lvlJc w:val="left"/>
      <w:pPr>
        <w:tabs>
          <w:tab w:val="left" w:pos="312"/>
        </w:tabs>
      </w:pPr>
      <w:rPr>
        <w:rFonts w:hint="eastAsia"/>
      </w:rPr>
    </w:lvl>
  </w:abstractNum>
  <w:abstractNum w:abstractNumId="6">
    <w:nsid w:val="74E24F4E"/>
    <w:multiLevelType w:val="singleLevel"/>
    <w:tmpl w:val="74E24F4E"/>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k5YWU5NjI1YWUwMzdkYzA4ODFmMzBiNDM1MTMxZGYifQ=="/>
  </w:docVars>
  <w:rsids>
    <w:rsidRoot w:val="00000000"/>
    <w:rsid w:val="00D04562"/>
    <w:rsid w:val="011B1D36"/>
    <w:rsid w:val="01AF3811"/>
    <w:rsid w:val="03795BF7"/>
    <w:rsid w:val="03AF1619"/>
    <w:rsid w:val="086E756B"/>
    <w:rsid w:val="0ACF37E5"/>
    <w:rsid w:val="0B400BC6"/>
    <w:rsid w:val="0E68228D"/>
    <w:rsid w:val="11EB5F12"/>
    <w:rsid w:val="141B7611"/>
    <w:rsid w:val="15276E52"/>
    <w:rsid w:val="165A18B8"/>
    <w:rsid w:val="19D32FBC"/>
    <w:rsid w:val="1AD80FFE"/>
    <w:rsid w:val="1DC37D43"/>
    <w:rsid w:val="1DEA52D0"/>
    <w:rsid w:val="1E6A4395"/>
    <w:rsid w:val="1EA305EF"/>
    <w:rsid w:val="1F6466AD"/>
    <w:rsid w:val="1FAD2A59"/>
    <w:rsid w:val="217B0148"/>
    <w:rsid w:val="25557A3D"/>
    <w:rsid w:val="25D85D70"/>
    <w:rsid w:val="26EA5ED7"/>
    <w:rsid w:val="27A93B82"/>
    <w:rsid w:val="2A17102F"/>
    <w:rsid w:val="2AE00186"/>
    <w:rsid w:val="2D7F18FB"/>
    <w:rsid w:val="2F9257C7"/>
    <w:rsid w:val="308216BE"/>
    <w:rsid w:val="33E15D32"/>
    <w:rsid w:val="345743A8"/>
    <w:rsid w:val="34FE1149"/>
    <w:rsid w:val="35AA187C"/>
    <w:rsid w:val="35C50C52"/>
    <w:rsid w:val="38476234"/>
    <w:rsid w:val="3A550786"/>
    <w:rsid w:val="3B7A130F"/>
    <w:rsid w:val="3BB222F8"/>
    <w:rsid w:val="3D847CC2"/>
    <w:rsid w:val="40E1035D"/>
    <w:rsid w:val="42F1180C"/>
    <w:rsid w:val="432C2669"/>
    <w:rsid w:val="43667CA8"/>
    <w:rsid w:val="439660BE"/>
    <w:rsid w:val="455247B9"/>
    <w:rsid w:val="469A0622"/>
    <w:rsid w:val="4B506F86"/>
    <w:rsid w:val="4CB81013"/>
    <w:rsid w:val="4F8B6063"/>
    <w:rsid w:val="4F8F7FCE"/>
    <w:rsid w:val="513B7615"/>
    <w:rsid w:val="516C3454"/>
    <w:rsid w:val="52FA3F96"/>
    <w:rsid w:val="53AF7E46"/>
    <w:rsid w:val="55850F17"/>
    <w:rsid w:val="57AE6D93"/>
    <w:rsid w:val="59545718"/>
    <w:rsid w:val="598E269D"/>
    <w:rsid w:val="5BA93771"/>
    <w:rsid w:val="5D6F76D2"/>
    <w:rsid w:val="5D721B9E"/>
    <w:rsid w:val="5FB623A7"/>
    <w:rsid w:val="620F3A24"/>
    <w:rsid w:val="62233ED9"/>
    <w:rsid w:val="623F42B4"/>
    <w:rsid w:val="63563552"/>
    <w:rsid w:val="636A1E55"/>
    <w:rsid w:val="68C63810"/>
    <w:rsid w:val="6CEB1A97"/>
    <w:rsid w:val="6D702D90"/>
    <w:rsid w:val="6E3851B0"/>
    <w:rsid w:val="70CA41F7"/>
    <w:rsid w:val="76CF41D8"/>
    <w:rsid w:val="79EF21D4"/>
    <w:rsid w:val="7C6E1023"/>
    <w:rsid w:val="7CD9190C"/>
    <w:rsid w:val="7ED67756"/>
    <w:rsid w:val="7FCC1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15442</Words>
  <Characters>16837</Characters>
  <TotalTime>44</TotalTime>
  <ScaleCrop>false</ScaleCrop>
  <LinksUpToDate>false</LinksUpToDate>
  <CharactersWithSpaces>17673</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波哥大</cp:lastModifiedBy>
  <cp:lastPrinted>2024-05-21T14:05:00Z</cp:lastPrinted>
  <dcterms:modified xsi:type="dcterms:W3CDTF">2024-07-17T02:52:12Z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2052-12.1.0.16910</vt:lpwstr>
  </property>
  <property fmtid="{D5CDD505-2E9C-101B-9397-08002B2CF9AE}" pid="6" name="ICV">
    <vt:lpwstr>A1E9AC54BF58440288AD196632C2A254_12</vt:lpwstr>
  </property>
</Properties>
</file>