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380.97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358.4</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22.57</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ascii="仿宋_GB2312" w:hAnsi="宋体" w:eastAsia="仿宋_GB2312" w:cs="宋体"/>
                <w:kern w:val="0"/>
                <w:sz w:val="22"/>
                <w:szCs w:val="22"/>
                <w:lang w:val="en-US" w:eastAsia="zh-CN"/>
              </w:rPr>
              <w:t>按照中央八项规定要求，严格落实厉行节约政策。</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陈规</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2023.5.15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13575047755</w:t>
      </w:r>
      <w:r>
        <w:rPr>
          <w:rFonts w:ascii="仿宋_GB2312" w:hAnsi="宋体" w:eastAsia="仿宋_GB2312" w:cs="宋体"/>
          <w:snapToGrid w:val="0"/>
          <w:color w:val="000000"/>
          <w:sz w:val="21"/>
          <w:szCs w:val="21"/>
          <w:lang w:val="en-US" w:eastAsia="zh-CN" w:bidi="ar-SA"/>
        </w:rPr>
        <w:t xml:space="preserve">  单位负责人签字：</w:t>
      </w:r>
      <w:r>
        <w:rPr>
          <w:rFonts w:hint="eastAsia" w:eastAsiaTheme="minorEastAsia"/>
          <w:sz w:val="20"/>
          <w:szCs w:val="20"/>
          <w:lang w:eastAsia="zh-CN"/>
        </w:rPr>
        <w:t>彭景</w:t>
      </w: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汨罗市城市路灯服务中心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555.51</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631.31</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631.31</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113.65</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631.31</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160.44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470.88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1、为城市生活正常提供城市街道路灯设施管理维护保障。</w:t>
            </w:r>
          </w:p>
          <w:p>
            <w:pPr>
              <w:spacing w:line="240" w:lineRule="auto"/>
              <w:ind w:firstLine="420"/>
              <w:jc w:val="left"/>
              <w:rPr>
                <w:rFonts w:hint="eastAsia" w:ascii="仿宋_GB2312" w:eastAsia="仿宋_GB2312"/>
                <w:kern w:val="0"/>
              </w:rPr>
            </w:pPr>
            <w:r>
              <w:rPr>
                <w:rFonts w:hint="eastAsia" w:ascii="仿宋_GB2312" w:eastAsia="仿宋_GB2312"/>
                <w:kern w:val="0"/>
              </w:rPr>
              <w:t>2、背街小巷路灯设施维护管理。</w:t>
            </w:r>
          </w:p>
          <w:p>
            <w:pPr>
              <w:spacing w:line="240" w:lineRule="auto"/>
              <w:ind w:firstLine="420"/>
              <w:jc w:val="left"/>
              <w:rPr>
                <w:rFonts w:hint="eastAsia" w:ascii="仿宋_GB2312" w:eastAsia="仿宋_GB2312"/>
                <w:kern w:val="0"/>
              </w:rPr>
            </w:pPr>
            <w:r>
              <w:rPr>
                <w:rFonts w:hint="eastAsia" w:ascii="仿宋_GB2312" w:eastAsia="仿宋_GB2312"/>
                <w:kern w:val="0"/>
              </w:rPr>
              <w:t>3、参与城区道路及背街小巷路灯新建、改建及景观照明工程施工和监管。</w:t>
            </w:r>
          </w:p>
          <w:p>
            <w:pPr>
              <w:spacing w:line="240" w:lineRule="auto"/>
              <w:ind w:firstLine="420"/>
              <w:jc w:val="left"/>
              <w:rPr>
                <w:rFonts w:ascii="仿宋_GB2312" w:eastAsia="仿宋_GB2312"/>
                <w:kern w:val="0"/>
              </w:rPr>
            </w:pPr>
            <w:r>
              <w:rPr>
                <w:rFonts w:hint="eastAsia" w:ascii="仿宋_GB2312" w:eastAsia="仿宋_GB2312"/>
                <w:kern w:val="0"/>
              </w:rPr>
              <w:t>4、承办上级部门、政府交办的其他工作。</w:t>
            </w:r>
          </w:p>
        </w:tc>
        <w:tc>
          <w:tcPr>
            <w:tcW w:w="4260" w:type="dxa"/>
            <w:gridSpan w:val="4"/>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各项工作</w:t>
            </w: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1"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落实路灯维护工作</w:t>
            </w:r>
            <w:r>
              <w:rPr>
                <w:rFonts w:hint="eastAsia" w:ascii="仿宋_GB2312" w:eastAsia="仿宋_GB2312"/>
                <w:kern w:val="0"/>
                <w:lang w:eastAsia="zh-CN"/>
              </w:rPr>
              <w:t>；</w:t>
            </w:r>
            <w:r>
              <w:rPr>
                <w:rFonts w:hint="eastAsia" w:ascii="仿宋_GB2312" w:eastAsia="仿宋_GB2312"/>
                <w:kern w:val="0"/>
              </w:rPr>
              <w:t>抓好亮化管理工作</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维修路灯2500盏，维修路灯线路120次，共3356米。维修控制电源箱180次，排查路灯亮化线路安全隐患20处。确保亮灯率始终保持在98%以上</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rPr>
              <w:t>共维修路灯2859盏，维修路灯线路126次，共3356米。维修控制电源箱185次，接收“12345”热线39起，接收处理“市民热线”38起，排查路灯亮化线路安全隐患26处。确保亮灯率始终保持在98%以上。</w:t>
            </w:r>
          </w:p>
        </w:tc>
        <w:tc>
          <w:tcPr>
            <w:tcW w:w="699"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left"/>
              <w:rPr>
                <w:rFonts w:hint="eastAsia"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城区路灯维修维护提升</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≥98%</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各项工作完成时间</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2022.1.1-2022.12.31</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rPr>
              <w:t>2022.1.1-2022.12.31</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各项工作按期完成率</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节约共用照明</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≥20万元</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对提高群众生活水平、促进和谐社会提升程度</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效果明显</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rPr>
              <w:t>效果明显</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保障居民夜间出行安全</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rPr>
              <w:t>有效提升</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rPr>
              <w:t>有效提升</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left"/>
              <w:rPr>
                <w:rFonts w:ascii="仿宋_GB2312" w:eastAsia="仿宋_GB2312"/>
                <w:kern w:val="0"/>
              </w:rPr>
            </w:pPr>
          </w:p>
        </w:tc>
        <w:tc>
          <w:tcPr>
            <w:tcW w:w="1269" w:type="dxa"/>
            <w:vAlign w:val="center"/>
          </w:tcPr>
          <w:p>
            <w:pPr>
              <w:spacing w:line="240" w:lineRule="auto"/>
              <w:ind w:firstLine="420"/>
              <w:jc w:val="left"/>
              <w:rPr>
                <w:rFonts w:ascii="仿宋_GB2312" w:eastAsia="仿宋_GB2312"/>
                <w:kern w:val="0"/>
              </w:rPr>
            </w:pPr>
          </w:p>
        </w:tc>
        <w:tc>
          <w:tcPr>
            <w:tcW w:w="699" w:type="dxa"/>
            <w:vAlign w:val="center"/>
          </w:tcPr>
          <w:p>
            <w:pPr>
              <w:spacing w:line="240" w:lineRule="auto"/>
              <w:ind w:firstLine="420"/>
              <w:jc w:val="left"/>
              <w:rPr>
                <w:rFonts w:ascii="仿宋_GB2312" w:eastAsia="仿宋_GB2312"/>
                <w:kern w:val="0"/>
              </w:rPr>
            </w:pPr>
          </w:p>
        </w:tc>
        <w:tc>
          <w:tcPr>
            <w:tcW w:w="869" w:type="dxa"/>
            <w:vAlign w:val="center"/>
          </w:tcPr>
          <w:p>
            <w:pPr>
              <w:spacing w:line="240" w:lineRule="auto"/>
              <w:ind w:firstLine="420"/>
              <w:jc w:val="left"/>
              <w:rPr>
                <w:rFonts w:ascii="仿宋_GB2312" w:eastAsia="仿宋_GB2312"/>
                <w:kern w:val="0"/>
              </w:rPr>
            </w:pP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 xml:space="preserve">社会群众满意度     </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 xml:space="preserve">≥95%  </w:t>
            </w:r>
          </w:p>
        </w:tc>
        <w:tc>
          <w:tcPr>
            <w:tcW w:w="12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98%</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上级部门满意度</w:t>
            </w:r>
          </w:p>
        </w:tc>
        <w:tc>
          <w:tcPr>
            <w:tcW w:w="1298" w:type="dxa"/>
            <w:vAlign w:val="center"/>
          </w:tcPr>
          <w:p>
            <w:pPr>
              <w:spacing w:line="240" w:lineRule="auto"/>
              <w:ind w:firstLine="420"/>
              <w:jc w:val="left"/>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8</w:t>
            </w:r>
            <w:r>
              <w:rPr>
                <w:rFonts w:hint="eastAsia" w:ascii="仿宋_GB2312" w:eastAsia="仿宋_GB2312"/>
                <w:kern w:val="0"/>
              </w:rPr>
              <w:t xml:space="preserve">% </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lang w:val="en-US" w:eastAsia="zh-CN"/>
              </w:rPr>
              <w:t>98%</w:t>
            </w:r>
          </w:p>
        </w:tc>
        <w:tc>
          <w:tcPr>
            <w:tcW w:w="69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rPr>
              <w:t>严格控制在预算成本内</w:t>
            </w:r>
          </w:p>
        </w:tc>
        <w:tc>
          <w:tcPr>
            <w:tcW w:w="1298"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rPr>
              <w:t>基本支出≤160.44万元</w:t>
            </w:r>
            <w:r>
              <w:rPr>
                <w:rFonts w:hint="eastAsia" w:ascii="仿宋_GB2312" w:eastAsia="仿宋_GB2312"/>
                <w:kern w:val="0"/>
                <w:lang w:eastAsia="zh-CN"/>
              </w:rPr>
              <w:t>，项目支出≤470.88万元</w:t>
            </w:r>
          </w:p>
        </w:tc>
        <w:tc>
          <w:tcPr>
            <w:tcW w:w="1269" w:type="dxa"/>
            <w:vAlign w:val="center"/>
          </w:tcPr>
          <w:p>
            <w:pPr>
              <w:spacing w:line="240" w:lineRule="auto"/>
              <w:ind w:firstLine="420"/>
              <w:jc w:val="left"/>
              <w:rPr>
                <w:rFonts w:ascii="仿宋_GB2312" w:eastAsia="仿宋_GB2312"/>
                <w:kern w:val="0"/>
              </w:rPr>
            </w:pPr>
            <w:r>
              <w:rPr>
                <w:rFonts w:hint="eastAsia" w:ascii="仿宋_GB2312" w:eastAsia="仿宋_GB2312"/>
                <w:kern w:val="0"/>
                <w:lang w:val="en-US" w:eastAsia="zh-CN"/>
              </w:rPr>
              <w:t>113.65</w:t>
            </w:r>
            <w:r>
              <w:rPr>
                <w:rFonts w:hint="eastAsia" w:ascii="仿宋_GB2312" w:eastAsia="仿宋_GB2312"/>
                <w:kern w:val="0"/>
              </w:rPr>
              <w:t>%</w:t>
            </w:r>
          </w:p>
        </w:tc>
        <w:tc>
          <w:tcPr>
            <w:tcW w:w="69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18</w:t>
            </w: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left"/>
              <w:rPr>
                <w:rFonts w:ascii="仿宋_GB2312" w:eastAsia="仿宋_GB2312"/>
                <w:kern w:val="0"/>
              </w:rPr>
            </w:pPr>
          </w:p>
        </w:tc>
        <w:tc>
          <w:tcPr>
            <w:tcW w:w="1269" w:type="dxa"/>
            <w:vAlign w:val="center"/>
          </w:tcPr>
          <w:p>
            <w:pPr>
              <w:spacing w:line="240" w:lineRule="auto"/>
              <w:ind w:firstLine="420"/>
              <w:jc w:val="left"/>
              <w:rPr>
                <w:rFonts w:ascii="仿宋_GB2312" w:eastAsia="仿宋_GB2312"/>
                <w:kern w:val="0"/>
              </w:rPr>
            </w:pPr>
          </w:p>
        </w:tc>
        <w:tc>
          <w:tcPr>
            <w:tcW w:w="699" w:type="dxa"/>
            <w:vAlign w:val="center"/>
          </w:tcPr>
          <w:p>
            <w:pPr>
              <w:spacing w:line="240" w:lineRule="auto"/>
              <w:ind w:firstLine="420"/>
              <w:jc w:val="left"/>
              <w:rPr>
                <w:rFonts w:ascii="仿宋_GB2312" w:eastAsia="仿宋_GB2312"/>
                <w:kern w:val="0"/>
              </w:rPr>
            </w:pPr>
          </w:p>
        </w:tc>
        <w:tc>
          <w:tcPr>
            <w:tcW w:w="869" w:type="dxa"/>
            <w:vAlign w:val="center"/>
          </w:tcPr>
          <w:p>
            <w:pPr>
              <w:spacing w:line="240" w:lineRule="auto"/>
              <w:ind w:firstLine="420"/>
              <w:jc w:val="left"/>
              <w:rPr>
                <w:rFonts w:ascii="仿宋_GB2312" w:eastAsia="仿宋_GB2312"/>
                <w:kern w:val="0"/>
              </w:rPr>
            </w:pP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left"/>
              <w:rPr>
                <w:rFonts w:ascii="仿宋_GB2312" w:eastAsia="仿宋_GB2312"/>
                <w:kern w:val="0"/>
              </w:rPr>
            </w:pPr>
          </w:p>
        </w:tc>
        <w:tc>
          <w:tcPr>
            <w:tcW w:w="1298" w:type="dxa"/>
            <w:vAlign w:val="center"/>
          </w:tcPr>
          <w:p>
            <w:pPr>
              <w:spacing w:line="240" w:lineRule="auto"/>
              <w:ind w:firstLine="420"/>
              <w:jc w:val="left"/>
              <w:rPr>
                <w:rFonts w:ascii="仿宋_GB2312" w:eastAsia="仿宋_GB2312"/>
                <w:kern w:val="0"/>
              </w:rPr>
            </w:pPr>
          </w:p>
        </w:tc>
        <w:tc>
          <w:tcPr>
            <w:tcW w:w="1269" w:type="dxa"/>
            <w:vAlign w:val="center"/>
          </w:tcPr>
          <w:p>
            <w:pPr>
              <w:spacing w:line="240" w:lineRule="auto"/>
              <w:ind w:firstLine="420"/>
              <w:jc w:val="left"/>
              <w:rPr>
                <w:rFonts w:ascii="仿宋_GB2312" w:eastAsia="仿宋_GB2312"/>
                <w:kern w:val="0"/>
              </w:rPr>
            </w:pPr>
          </w:p>
        </w:tc>
        <w:tc>
          <w:tcPr>
            <w:tcW w:w="699" w:type="dxa"/>
            <w:vAlign w:val="center"/>
          </w:tcPr>
          <w:p>
            <w:pPr>
              <w:spacing w:line="240" w:lineRule="auto"/>
              <w:ind w:firstLine="420"/>
              <w:jc w:val="left"/>
              <w:rPr>
                <w:rFonts w:ascii="仿宋_GB2312" w:eastAsia="仿宋_GB2312"/>
                <w:kern w:val="0"/>
              </w:rPr>
            </w:pPr>
          </w:p>
        </w:tc>
        <w:tc>
          <w:tcPr>
            <w:tcW w:w="869" w:type="dxa"/>
            <w:vAlign w:val="center"/>
          </w:tcPr>
          <w:p>
            <w:pPr>
              <w:spacing w:line="240" w:lineRule="auto"/>
              <w:ind w:firstLine="420"/>
              <w:jc w:val="left"/>
              <w:rPr>
                <w:rFonts w:ascii="仿宋_GB2312" w:eastAsia="仿宋_GB2312"/>
                <w:kern w:val="0"/>
              </w:rPr>
            </w:pPr>
          </w:p>
        </w:tc>
        <w:tc>
          <w:tcPr>
            <w:tcW w:w="1423" w:type="dxa"/>
            <w:vAlign w:val="center"/>
          </w:tcPr>
          <w:p>
            <w:pPr>
              <w:spacing w:line="240" w:lineRule="auto"/>
              <w:ind w:firstLine="42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陈规</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2023.5.15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13575047755</w:t>
      </w:r>
      <w:r>
        <w:rPr>
          <w:rFonts w:ascii="仿宋_GB2312" w:hAnsi="宋体" w:eastAsia="仿宋_GB2312" w:cs="宋体"/>
          <w:snapToGrid w:val="0"/>
          <w:color w:val="000000"/>
          <w:sz w:val="21"/>
          <w:szCs w:val="21"/>
          <w:lang w:val="en-US" w:eastAsia="zh-CN" w:bidi="ar-SA"/>
        </w:rPr>
        <w:t xml:space="preserve">  单位负责人签字：</w:t>
      </w:r>
      <w:r>
        <w:rPr>
          <w:rFonts w:hint="eastAsia" w:eastAsiaTheme="minorEastAsia"/>
          <w:sz w:val="20"/>
          <w:szCs w:val="20"/>
          <w:lang w:eastAsia="zh-CN"/>
        </w:rPr>
        <w:t>彭景</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路灯维护费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汨罗市城市路灯服务中心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146.67</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eastAsia="仿宋_GB2312"/>
                <w:kern w:val="0"/>
              </w:rPr>
              <w:t>落实路灯维护工作</w:t>
            </w:r>
            <w:r>
              <w:rPr>
                <w:rFonts w:hint="eastAsia" w:ascii="仿宋_GB2312" w:eastAsia="仿宋_GB2312"/>
                <w:kern w:val="0"/>
                <w:lang w:eastAsia="zh-CN"/>
              </w:rPr>
              <w:t>；</w:t>
            </w:r>
            <w:r>
              <w:rPr>
                <w:rFonts w:hint="eastAsia" w:ascii="仿宋_GB2312" w:eastAsia="仿宋_GB2312"/>
                <w:kern w:val="0"/>
              </w:rPr>
              <w:t>抓好亮化管理工作</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rPr>
              <w:t>维修路灯2500盏，维修路灯线路120次，共3356米。维修控制电源箱180次，排查路灯亮化线路安全隐患20处。确保亮灯率始终保持在98%以上</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rPr>
              <w:t>共维修路灯2859盏，维修路灯线路126次，共3356米。维修控制电源箱185次，接收“12345”热线39起，接收处理“市民热线”38起，排查路灯亮化线路安全隐患26处。确保亮灯率始终保持在98%以上。</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城区路灯维修维护提升</w:t>
            </w: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各项工作完成时间</w:t>
            </w:r>
          </w:p>
        </w:tc>
        <w:tc>
          <w:tcPr>
            <w:tcW w:w="109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2022.1.1-2022.12.31</w:t>
            </w:r>
          </w:p>
        </w:tc>
        <w:tc>
          <w:tcPr>
            <w:tcW w:w="109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2022.1.1-2022.12.31</w:t>
            </w:r>
          </w:p>
        </w:tc>
        <w:tc>
          <w:tcPr>
            <w:tcW w:w="80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各项工作按期完成率</w:t>
            </w:r>
          </w:p>
        </w:tc>
        <w:tc>
          <w:tcPr>
            <w:tcW w:w="109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节约共用照明</w:t>
            </w:r>
          </w:p>
        </w:tc>
        <w:tc>
          <w:tcPr>
            <w:tcW w:w="109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≥20万元</w:t>
            </w: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对提高群众生活水平、促进和谐社会提升程度</w:t>
            </w:r>
          </w:p>
        </w:tc>
        <w:tc>
          <w:tcPr>
            <w:tcW w:w="109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效果明显</w:t>
            </w:r>
          </w:p>
        </w:tc>
        <w:tc>
          <w:tcPr>
            <w:tcW w:w="109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效果明显</w:t>
            </w:r>
          </w:p>
        </w:tc>
        <w:tc>
          <w:tcPr>
            <w:tcW w:w="80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保障居民夜间出行安全</w:t>
            </w:r>
          </w:p>
        </w:tc>
        <w:tc>
          <w:tcPr>
            <w:tcW w:w="109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有效提升</w:t>
            </w:r>
          </w:p>
        </w:tc>
        <w:tc>
          <w:tcPr>
            <w:tcW w:w="109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有效提升</w:t>
            </w:r>
          </w:p>
        </w:tc>
        <w:tc>
          <w:tcPr>
            <w:tcW w:w="80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 xml:space="preserve">社会群众满意度     </w:t>
            </w: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 xml:space="preserve">≥95%  </w:t>
            </w:r>
          </w:p>
        </w:tc>
        <w:tc>
          <w:tcPr>
            <w:tcW w:w="109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98%</w:t>
            </w:r>
          </w:p>
        </w:tc>
        <w:tc>
          <w:tcPr>
            <w:tcW w:w="80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上级部门满意度</w:t>
            </w: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w:t>
            </w:r>
            <w:r>
              <w:rPr>
                <w:rFonts w:hint="eastAsia" w:ascii="仿宋_GB2312" w:eastAsia="仿宋_GB2312"/>
                <w:kern w:val="0"/>
                <w:lang w:val="en-US" w:eastAsia="zh-CN"/>
              </w:rPr>
              <w:t>8</w:t>
            </w:r>
            <w:r>
              <w:rPr>
                <w:rFonts w:hint="eastAsia" w:ascii="仿宋_GB2312" w:eastAsia="仿宋_GB2312"/>
                <w:kern w:val="0"/>
              </w:rPr>
              <w:t xml:space="preserve">% </w:t>
            </w:r>
          </w:p>
        </w:tc>
        <w:tc>
          <w:tcPr>
            <w:tcW w:w="1099" w:type="dxa"/>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98%</w:t>
            </w:r>
          </w:p>
        </w:tc>
        <w:tc>
          <w:tcPr>
            <w:tcW w:w="80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严格控制在预算成本内</w:t>
            </w:r>
          </w:p>
        </w:tc>
        <w:tc>
          <w:tcPr>
            <w:tcW w:w="1099" w:type="dxa"/>
            <w:vAlign w:val="center"/>
          </w:tcPr>
          <w:p>
            <w:pPr>
              <w:spacing w:line="240" w:lineRule="auto"/>
              <w:jc w:val="left"/>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项目支出≤</w:t>
            </w:r>
            <w:r>
              <w:rPr>
                <w:rFonts w:hint="eastAsia" w:ascii="仿宋_GB2312" w:eastAsia="仿宋_GB2312"/>
                <w:kern w:val="0"/>
                <w:lang w:val="en-US" w:eastAsia="zh-CN"/>
              </w:rPr>
              <w:t>30</w:t>
            </w:r>
            <w:r>
              <w:rPr>
                <w:rFonts w:hint="eastAsia" w:ascii="仿宋_GB2312" w:eastAsia="仿宋_GB2312"/>
                <w:kern w:val="0"/>
                <w:lang w:eastAsia="zh-CN"/>
              </w:rPr>
              <w:t>万元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146.67</w:t>
            </w:r>
            <w:r>
              <w:rPr>
                <w:rFonts w:hint="eastAsia" w:ascii="仿宋_GB2312" w:eastAsia="仿宋_GB2312"/>
                <w:kern w:val="0"/>
              </w:rPr>
              <w:t>%</w:t>
            </w:r>
          </w:p>
        </w:tc>
        <w:tc>
          <w:tcPr>
            <w:tcW w:w="80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18</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陈规</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2023.5.15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13575047755</w:t>
      </w:r>
      <w:r>
        <w:rPr>
          <w:rFonts w:ascii="仿宋_GB2312" w:hAnsi="宋体" w:eastAsia="仿宋_GB2312" w:cs="宋体"/>
          <w:snapToGrid w:val="0"/>
          <w:color w:val="000000"/>
          <w:sz w:val="21"/>
          <w:szCs w:val="21"/>
          <w:lang w:val="en-US" w:eastAsia="zh-CN" w:bidi="ar-SA"/>
        </w:rPr>
        <w:t xml:space="preserve">  单位负责人签字：</w:t>
      </w:r>
      <w:r>
        <w:rPr>
          <w:rFonts w:hint="eastAsia" w:eastAsiaTheme="minorEastAsia"/>
          <w:sz w:val="20"/>
          <w:szCs w:val="20"/>
          <w:lang w:eastAsia="zh-CN"/>
        </w:rPr>
        <w:t>彭景</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汨罗市城市绿灯服务中心</w:t>
      </w:r>
      <w:r>
        <w:rPr>
          <w:rFonts w:hint="eastAsia" w:ascii="方正小标宋简体" w:hAnsi="宋体" w:eastAsia="方正小标宋简体" w:cs="宋体"/>
          <w:kern w:val="0"/>
          <w:sz w:val="44"/>
          <w:szCs w:val="44"/>
          <w:lang w:eastAsia="zh-CN"/>
        </w:rPr>
        <w:t>部门整体支出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汨罗市城市路灯服务中心</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1、机构设置</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汨罗市城市路灯服务中心为财政全额拨款的公益一类事业单位，隶属汨罗市城市管理和综合执法局，执行行政单位会计制度。汨罗市城市路灯服务中心设：办公室、财务室、工程办公室、巡查一组、巡查二组、党建等股室。</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 xml:space="preserve">    2、人员情况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我单位202</w:t>
      </w:r>
      <w:r>
        <w:rPr>
          <w:rFonts w:hint="eastAsia" w:eastAsia="仿宋_GB2312"/>
          <w:kern w:val="0"/>
          <w:sz w:val="32"/>
          <w:szCs w:val="32"/>
          <w:lang w:val="en-US" w:eastAsia="zh-CN"/>
        </w:rPr>
        <w:t>2</w:t>
      </w:r>
      <w:r>
        <w:rPr>
          <w:rFonts w:hint="eastAsia" w:eastAsia="仿宋_GB2312"/>
          <w:kern w:val="0"/>
          <w:sz w:val="32"/>
          <w:szCs w:val="32"/>
          <w:lang w:eastAsia="zh-CN"/>
        </w:rPr>
        <w:t>年人员编制</w:t>
      </w:r>
      <w:r>
        <w:rPr>
          <w:rFonts w:hint="eastAsia" w:eastAsia="仿宋_GB2312"/>
          <w:kern w:val="0"/>
          <w:sz w:val="32"/>
          <w:szCs w:val="32"/>
          <w:lang w:val="en-US" w:eastAsia="zh-CN"/>
        </w:rPr>
        <w:t>14</w:t>
      </w:r>
      <w:r>
        <w:rPr>
          <w:rFonts w:hint="eastAsia" w:eastAsia="仿宋_GB2312"/>
          <w:kern w:val="0"/>
          <w:sz w:val="32"/>
          <w:szCs w:val="32"/>
          <w:lang w:eastAsia="zh-CN"/>
        </w:rPr>
        <w:t>名，202</w:t>
      </w:r>
      <w:r>
        <w:rPr>
          <w:rFonts w:hint="eastAsia" w:eastAsia="仿宋_GB2312"/>
          <w:kern w:val="0"/>
          <w:sz w:val="32"/>
          <w:szCs w:val="32"/>
          <w:lang w:val="en-US" w:eastAsia="zh-CN"/>
        </w:rPr>
        <w:t>2</w:t>
      </w:r>
      <w:r>
        <w:rPr>
          <w:rFonts w:hint="eastAsia" w:eastAsia="仿宋_GB2312"/>
          <w:kern w:val="0"/>
          <w:sz w:val="32"/>
          <w:szCs w:val="32"/>
          <w:lang w:eastAsia="zh-CN"/>
        </w:rPr>
        <w:t>年末在职</w:t>
      </w:r>
      <w:r>
        <w:rPr>
          <w:rFonts w:hint="eastAsia" w:eastAsia="仿宋_GB2312"/>
          <w:kern w:val="0"/>
          <w:sz w:val="32"/>
          <w:szCs w:val="32"/>
          <w:lang w:val="en-US" w:eastAsia="zh-CN"/>
        </w:rPr>
        <w:t>14</w:t>
      </w:r>
      <w:r>
        <w:rPr>
          <w:rFonts w:hint="eastAsia" w:eastAsia="仿宋_GB2312"/>
          <w:kern w:val="0"/>
          <w:sz w:val="32"/>
          <w:szCs w:val="32"/>
          <w:lang w:eastAsia="zh-CN"/>
        </w:rPr>
        <w:t>人，退休</w:t>
      </w:r>
      <w:r>
        <w:rPr>
          <w:rFonts w:hint="eastAsia" w:eastAsia="仿宋_GB2312"/>
          <w:kern w:val="0"/>
          <w:sz w:val="32"/>
          <w:szCs w:val="32"/>
          <w:lang w:val="en-US" w:eastAsia="zh-CN"/>
        </w:rPr>
        <w:t>9</w:t>
      </w:r>
      <w:r>
        <w:rPr>
          <w:rFonts w:hint="eastAsia" w:eastAsia="仿宋_GB2312"/>
          <w:kern w:val="0"/>
          <w:sz w:val="32"/>
          <w:szCs w:val="32"/>
          <w:lang w:eastAsia="zh-CN"/>
        </w:rPr>
        <w:t>人，遗属</w:t>
      </w:r>
      <w:r>
        <w:rPr>
          <w:rFonts w:hint="eastAsia" w:eastAsia="仿宋_GB2312"/>
          <w:kern w:val="0"/>
          <w:sz w:val="32"/>
          <w:szCs w:val="32"/>
          <w:lang w:val="en-US" w:eastAsia="zh-CN"/>
        </w:rPr>
        <w:t>1人</w:t>
      </w:r>
      <w:r>
        <w:rPr>
          <w:rFonts w:hint="eastAsia" w:eastAsia="仿宋_GB2312"/>
          <w:kern w:val="0"/>
          <w:sz w:val="32"/>
          <w:szCs w:val="32"/>
          <w:lang w:eastAsia="zh-CN"/>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我部为保障单位机构运转、完成日常工作任务，202</w:t>
      </w:r>
      <w:r>
        <w:rPr>
          <w:rFonts w:hint="eastAsia" w:eastAsia="仿宋_GB2312"/>
          <w:kern w:val="0"/>
          <w:sz w:val="32"/>
          <w:szCs w:val="32"/>
          <w:lang w:val="en-US" w:eastAsia="zh-CN"/>
        </w:rPr>
        <w:t>2</w:t>
      </w:r>
      <w:r>
        <w:rPr>
          <w:rFonts w:hint="eastAsia" w:eastAsia="仿宋_GB2312"/>
          <w:kern w:val="0"/>
          <w:sz w:val="32"/>
          <w:szCs w:val="32"/>
          <w:lang w:eastAsia="zh-CN"/>
        </w:rPr>
        <w:t>年一般公共预算拨款基本支出决算</w:t>
      </w:r>
      <w:r>
        <w:rPr>
          <w:rFonts w:hint="eastAsia" w:eastAsia="仿宋_GB2312"/>
          <w:kern w:val="0"/>
          <w:sz w:val="32"/>
          <w:szCs w:val="32"/>
          <w:lang w:val="en-US" w:eastAsia="zh-CN"/>
        </w:rPr>
        <w:t>631.31</w:t>
      </w:r>
      <w:r>
        <w:rPr>
          <w:rFonts w:hint="eastAsia" w:eastAsia="仿宋_GB2312"/>
          <w:kern w:val="0"/>
          <w:sz w:val="32"/>
          <w:szCs w:val="32"/>
          <w:lang w:eastAsia="zh-CN"/>
        </w:rPr>
        <w:t>万元，主要是工资福利支出、商品和服务支出和对个人和家庭的补助支出。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1、“三公”经费支出情况:</w:t>
      </w:r>
      <w:r>
        <w:rPr>
          <w:rFonts w:hint="eastAsia" w:eastAsia="仿宋_GB2312"/>
          <w:kern w:val="0"/>
          <w:sz w:val="32"/>
          <w:szCs w:val="32"/>
          <w:lang w:eastAsia="zh-CN"/>
        </w:rPr>
        <w:t>202</w:t>
      </w:r>
      <w:r>
        <w:rPr>
          <w:rFonts w:hint="eastAsia" w:eastAsia="仿宋_GB2312"/>
          <w:kern w:val="0"/>
          <w:sz w:val="32"/>
          <w:szCs w:val="32"/>
          <w:lang w:val="en-US" w:eastAsia="zh-CN"/>
        </w:rPr>
        <w:t>2</w:t>
      </w:r>
      <w:r>
        <w:rPr>
          <w:rFonts w:hint="eastAsia" w:eastAsia="仿宋_GB2312"/>
          <w:kern w:val="0"/>
          <w:sz w:val="32"/>
          <w:szCs w:val="32"/>
          <w:lang w:eastAsia="zh-CN"/>
        </w:rPr>
        <w:t>年度一般公共预算财政拨款“三公”经费年初预算为</w:t>
      </w:r>
      <w:r>
        <w:rPr>
          <w:rFonts w:hint="eastAsia" w:eastAsia="仿宋_GB2312"/>
          <w:kern w:val="0"/>
          <w:sz w:val="32"/>
          <w:szCs w:val="32"/>
          <w:lang w:val="en-US" w:eastAsia="zh-CN"/>
        </w:rPr>
        <w:t>2.8</w:t>
      </w:r>
      <w:r>
        <w:rPr>
          <w:rFonts w:hint="eastAsia" w:eastAsia="仿宋_GB2312"/>
          <w:kern w:val="0"/>
          <w:sz w:val="32"/>
          <w:szCs w:val="32"/>
          <w:lang w:eastAsia="zh-CN"/>
        </w:rPr>
        <w:t>万元，一般公共预算财政拨款“三公”经费支出决算为</w:t>
      </w:r>
      <w:r>
        <w:rPr>
          <w:rFonts w:hint="eastAsia" w:eastAsia="仿宋_GB2312"/>
          <w:kern w:val="0"/>
          <w:sz w:val="32"/>
          <w:szCs w:val="32"/>
          <w:lang w:val="en-US" w:eastAsia="zh-CN"/>
        </w:rPr>
        <w:t>0</w:t>
      </w:r>
      <w:r>
        <w:rPr>
          <w:rFonts w:hint="eastAsia" w:eastAsia="仿宋_GB2312"/>
          <w:kern w:val="0"/>
          <w:sz w:val="32"/>
          <w:szCs w:val="32"/>
          <w:lang w:eastAsia="zh-CN"/>
        </w:rPr>
        <w:t>万元。其中：因公出国（境）费用0万元；公务用车购置及运行维护费0万元；公务接待费支出</w:t>
      </w:r>
      <w:r>
        <w:rPr>
          <w:rFonts w:hint="eastAsia" w:eastAsia="仿宋_GB2312"/>
          <w:kern w:val="0"/>
          <w:sz w:val="32"/>
          <w:szCs w:val="32"/>
          <w:lang w:val="en-US" w:eastAsia="zh-CN"/>
        </w:rPr>
        <w:t>0</w:t>
      </w:r>
      <w:r>
        <w:rPr>
          <w:rFonts w:hint="eastAsia" w:eastAsia="仿宋_GB2312"/>
          <w:kern w:val="0"/>
          <w:sz w:val="32"/>
          <w:szCs w:val="32"/>
          <w:lang w:eastAsia="zh-CN"/>
        </w:rPr>
        <w:t>万元，比202</w:t>
      </w:r>
      <w:r>
        <w:rPr>
          <w:rFonts w:hint="eastAsia" w:eastAsia="仿宋_GB2312"/>
          <w:kern w:val="0"/>
          <w:sz w:val="32"/>
          <w:szCs w:val="32"/>
          <w:lang w:val="en-US" w:eastAsia="zh-CN"/>
        </w:rPr>
        <w:t>1</w:t>
      </w:r>
      <w:r>
        <w:rPr>
          <w:rFonts w:hint="eastAsia" w:eastAsia="仿宋_GB2312"/>
          <w:kern w:val="0"/>
          <w:sz w:val="32"/>
          <w:szCs w:val="32"/>
          <w:lang w:eastAsia="zh-CN"/>
        </w:rPr>
        <w:t>年公务接待费用减少了</w:t>
      </w:r>
      <w:r>
        <w:rPr>
          <w:rFonts w:hint="eastAsia" w:eastAsia="仿宋_GB2312"/>
          <w:kern w:val="0"/>
          <w:sz w:val="32"/>
          <w:szCs w:val="32"/>
          <w:lang w:val="en-US" w:eastAsia="zh-CN"/>
        </w:rPr>
        <w:t>0</w:t>
      </w:r>
      <w:r>
        <w:rPr>
          <w:rFonts w:hint="eastAsia" w:eastAsia="仿宋_GB2312"/>
          <w:kern w:val="0"/>
          <w:sz w:val="32"/>
          <w:szCs w:val="32"/>
          <w:lang w:eastAsia="zh-CN"/>
        </w:rPr>
        <w:t>万元。</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2、公用经费支出情况：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1</w:t>
      </w:r>
      <w:r>
        <w:rPr>
          <w:rFonts w:hint="eastAsia" w:eastAsia="仿宋_GB2312"/>
          <w:kern w:val="0"/>
          <w:sz w:val="32"/>
          <w:szCs w:val="32"/>
          <w:lang w:eastAsia="zh-CN"/>
        </w:rPr>
        <w:t>）办公经费202</w:t>
      </w:r>
      <w:r>
        <w:rPr>
          <w:rFonts w:hint="eastAsia" w:eastAsia="仿宋_GB2312"/>
          <w:kern w:val="0"/>
          <w:sz w:val="32"/>
          <w:szCs w:val="32"/>
          <w:lang w:val="en-US" w:eastAsia="zh-CN"/>
        </w:rPr>
        <w:t>2</w:t>
      </w:r>
      <w:r>
        <w:rPr>
          <w:rFonts w:hint="eastAsia" w:eastAsia="仿宋_GB2312"/>
          <w:kern w:val="0"/>
          <w:sz w:val="32"/>
          <w:szCs w:val="32"/>
          <w:lang w:eastAsia="zh-CN"/>
        </w:rPr>
        <w:t>年度一般公共预算财政拨款年初预算为</w:t>
      </w:r>
      <w:r>
        <w:rPr>
          <w:rFonts w:hint="eastAsia" w:eastAsia="仿宋_GB2312"/>
          <w:kern w:val="0"/>
          <w:sz w:val="32"/>
          <w:szCs w:val="32"/>
          <w:lang w:val="en-US" w:eastAsia="zh-CN"/>
        </w:rPr>
        <w:t>22.84</w:t>
      </w:r>
      <w:r>
        <w:rPr>
          <w:rFonts w:hint="eastAsia" w:eastAsia="仿宋_GB2312"/>
          <w:kern w:val="0"/>
          <w:sz w:val="32"/>
          <w:szCs w:val="32"/>
          <w:lang w:eastAsia="zh-CN"/>
        </w:rPr>
        <w:t>万元，一般公共预算财政拨款经费支出决算为</w:t>
      </w:r>
      <w:r>
        <w:rPr>
          <w:rFonts w:hint="eastAsia" w:eastAsia="仿宋_GB2312"/>
          <w:kern w:val="0"/>
          <w:sz w:val="32"/>
          <w:szCs w:val="32"/>
          <w:lang w:val="en-US" w:eastAsia="zh-CN"/>
        </w:rPr>
        <w:t>23.26</w:t>
      </w:r>
      <w:r>
        <w:rPr>
          <w:rFonts w:hint="eastAsia" w:eastAsia="仿宋_GB2312"/>
          <w:kern w:val="0"/>
          <w:sz w:val="32"/>
          <w:szCs w:val="32"/>
          <w:lang w:eastAsia="zh-CN"/>
        </w:rPr>
        <w:t>万元，不足指标从其他资金中支出。</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（2）</w:t>
      </w:r>
      <w:r>
        <w:rPr>
          <w:rFonts w:hint="default" w:eastAsia="仿宋_GB2312"/>
          <w:kern w:val="0"/>
          <w:sz w:val="32"/>
          <w:szCs w:val="32"/>
          <w:lang w:val="en-US" w:eastAsia="zh-CN"/>
        </w:rPr>
        <w:t>水费、电费、差旅费</w:t>
      </w:r>
      <w:r>
        <w:rPr>
          <w:rFonts w:hint="eastAsia" w:eastAsia="仿宋_GB2312"/>
          <w:kern w:val="0"/>
          <w:sz w:val="32"/>
          <w:szCs w:val="32"/>
          <w:lang w:eastAsia="zh-CN"/>
        </w:rPr>
        <w:t>202</w:t>
      </w:r>
      <w:r>
        <w:rPr>
          <w:rFonts w:hint="eastAsia" w:eastAsia="仿宋_GB2312"/>
          <w:kern w:val="0"/>
          <w:sz w:val="32"/>
          <w:szCs w:val="32"/>
          <w:lang w:val="en-US" w:eastAsia="zh-CN"/>
        </w:rPr>
        <w:t>2</w:t>
      </w:r>
      <w:r>
        <w:rPr>
          <w:rFonts w:hint="eastAsia" w:eastAsia="仿宋_GB2312"/>
          <w:kern w:val="0"/>
          <w:sz w:val="32"/>
          <w:szCs w:val="32"/>
          <w:lang w:eastAsia="zh-CN"/>
        </w:rPr>
        <w:t>年度一般公共预算财政拨款年初预算为</w:t>
      </w:r>
      <w:r>
        <w:rPr>
          <w:rFonts w:hint="eastAsia" w:eastAsia="仿宋_GB2312"/>
          <w:kern w:val="0"/>
          <w:sz w:val="32"/>
          <w:szCs w:val="32"/>
          <w:lang w:val="en-US" w:eastAsia="zh-CN"/>
        </w:rPr>
        <w:t>3.5</w:t>
      </w:r>
      <w:r>
        <w:rPr>
          <w:rFonts w:hint="eastAsia" w:eastAsia="仿宋_GB2312"/>
          <w:kern w:val="0"/>
          <w:sz w:val="32"/>
          <w:szCs w:val="32"/>
          <w:lang w:eastAsia="zh-CN"/>
        </w:rPr>
        <w:t>万元，一般公共预算财政拨款经费支出决算为</w:t>
      </w:r>
      <w:r>
        <w:rPr>
          <w:rFonts w:hint="eastAsia" w:eastAsia="仿宋_GB2312"/>
          <w:kern w:val="0"/>
          <w:sz w:val="32"/>
          <w:szCs w:val="32"/>
          <w:lang w:val="en-US" w:eastAsia="zh-CN"/>
        </w:rPr>
        <w:t>0.43</w:t>
      </w:r>
      <w:r>
        <w:rPr>
          <w:rFonts w:hint="eastAsia" w:eastAsia="仿宋_GB2312"/>
          <w:kern w:val="0"/>
          <w:sz w:val="32"/>
          <w:szCs w:val="32"/>
          <w:lang w:eastAsia="zh-CN"/>
        </w:rPr>
        <w:t>万元，剩余指标调剂到其他科目使用。</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（3）</w:t>
      </w:r>
      <w:r>
        <w:rPr>
          <w:rFonts w:hint="default" w:eastAsia="仿宋_GB2312"/>
          <w:kern w:val="0"/>
          <w:sz w:val="32"/>
          <w:szCs w:val="32"/>
          <w:lang w:val="en-US" w:eastAsia="zh-CN"/>
        </w:rPr>
        <w:t>会议费、培训费</w:t>
      </w:r>
      <w:r>
        <w:rPr>
          <w:rFonts w:hint="eastAsia" w:eastAsia="仿宋_GB2312"/>
          <w:kern w:val="0"/>
          <w:sz w:val="32"/>
          <w:szCs w:val="32"/>
          <w:lang w:eastAsia="zh-CN"/>
        </w:rPr>
        <w:t>202</w:t>
      </w:r>
      <w:r>
        <w:rPr>
          <w:rFonts w:hint="eastAsia" w:eastAsia="仿宋_GB2312"/>
          <w:kern w:val="0"/>
          <w:sz w:val="32"/>
          <w:szCs w:val="32"/>
          <w:lang w:val="en-US" w:eastAsia="zh-CN"/>
        </w:rPr>
        <w:t>2</w:t>
      </w:r>
      <w:r>
        <w:rPr>
          <w:rFonts w:hint="eastAsia" w:eastAsia="仿宋_GB2312"/>
          <w:kern w:val="0"/>
          <w:sz w:val="32"/>
          <w:szCs w:val="32"/>
          <w:lang w:eastAsia="zh-CN"/>
        </w:rPr>
        <w:t>年度一般公共预算财政拨款年初预算为</w:t>
      </w:r>
      <w:r>
        <w:rPr>
          <w:rFonts w:hint="eastAsia" w:eastAsia="仿宋_GB2312"/>
          <w:kern w:val="0"/>
          <w:sz w:val="32"/>
          <w:szCs w:val="32"/>
          <w:lang w:val="en-US" w:eastAsia="zh-CN"/>
        </w:rPr>
        <w:t>1.4</w:t>
      </w:r>
      <w:r>
        <w:rPr>
          <w:rFonts w:hint="eastAsia" w:eastAsia="仿宋_GB2312"/>
          <w:kern w:val="0"/>
          <w:sz w:val="32"/>
          <w:szCs w:val="32"/>
          <w:lang w:eastAsia="zh-CN"/>
        </w:rPr>
        <w:t>万元，一般公共预算财政拨款经费支出决算为</w:t>
      </w:r>
      <w:r>
        <w:rPr>
          <w:rFonts w:hint="eastAsia" w:eastAsia="仿宋_GB2312"/>
          <w:kern w:val="0"/>
          <w:sz w:val="32"/>
          <w:szCs w:val="32"/>
          <w:lang w:val="en-US" w:eastAsia="zh-CN"/>
        </w:rPr>
        <w:t>2.5</w:t>
      </w:r>
      <w:r>
        <w:rPr>
          <w:rFonts w:hint="eastAsia" w:eastAsia="仿宋_GB2312"/>
          <w:kern w:val="0"/>
          <w:sz w:val="32"/>
          <w:szCs w:val="32"/>
          <w:lang w:eastAsia="zh-CN"/>
        </w:rPr>
        <w:t>万元，剩余指标调剂到其他科目使用。</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（4）</w:t>
      </w:r>
      <w:r>
        <w:rPr>
          <w:rFonts w:hint="default" w:eastAsia="仿宋_GB2312"/>
          <w:kern w:val="0"/>
          <w:sz w:val="32"/>
          <w:szCs w:val="32"/>
          <w:lang w:val="en-US" w:eastAsia="zh-CN"/>
        </w:rPr>
        <w:t>政府采购金额</w:t>
      </w:r>
      <w:r>
        <w:rPr>
          <w:rFonts w:hint="eastAsia" w:eastAsia="仿宋_GB2312"/>
          <w:kern w:val="0"/>
          <w:sz w:val="32"/>
          <w:szCs w:val="32"/>
          <w:lang w:eastAsia="zh-CN"/>
        </w:rPr>
        <w:t>202</w:t>
      </w:r>
      <w:r>
        <w:rPr>
          <w:rFonts w:hint="eastAsia" w:eastAsia="仿宋_GB2312"/>
          <w:kern w:val="0"/>
          <w:sz w:val="32"/>
          <w:szCs w:val="32"/>
          <w:lang w:val="en-US" w:eastAsia="zh-CN"/>
        </w:rPr>
        <w:t>2</w:t>
      </w:r>
      <w:r>
        <w:rPr>
          <w:rFonts w:hint="eastAsia" w:eastAsia="仿宋_GB2312"/>
          <w:kern w:val="0"/>
          <w:sz w:val="32"/>
          <w:szCs w:val="32"/>
          <w:lang w:eastAsia="zh-CN"/>
        </w:rPr>
        <w:t>年度一般公共预算财政拨款年初预算为</w:t>
      </w:r>
      <w:r>
        <w:rPr>
          <w:rFonts w:hint="eastAsia" w:eastAsia="仿宋_GB2312"/>
          <w:kern w:val="0"/>
          <w:sz w:val="32"/>
          <w:szCs w:val="32"/>
          <w:lang w:val="en-US" w:eastAsia="zh-CN"/>
        </w:rPr>
        <w:t>73.8</w:t>
      </w:r>
      <w:r>
        <w:rPr>
          <w:rFonts w:hint="eastAsia" w:eastAsia="仿宋_GB2312"/>
          <w:kern w:val="0"/>
          <w:sz w:val="32"/>
          <w:szCs w:val="32"/>
          <w:lang w:eastAsia="zh-CN"/>
        </w:rPr>
        <w:t>万元，一般公共预算财政拨款经费支出决算为</w:t>
      </w:r>
      <w:r>
        <w:rPr>
          <w:rFonts w:hint="eastAsia" w:eastAsia="仿宋_GB2312"/>
          <w:kern w:val="0"/>
          <w:sz w:val="32"/>
          <w:szCs w:val="32"/>
          <w:lang w:val="en-US" w:eastAsia="zh-CN"/>
        </w:rPr>
        <w:t>54.34</w:t>
      </w:r>
      <w:r>
        <w:rPr>
          <w:rFonts w:hint="eastAsia" w:eastAsia="仿宋_GB2312"/>
          <w:kern w:val="0"/>
          <w:sz w:val="32"/>
          <w:szCs w:val="32"/>
          <w:lang w:eastAsia="zh-CN"/>
        </w:rPr>
        <w:t>万元。</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202</w:t>
      </w:r>
      <w:r>
        <w:rPr>
          <w:rFonts w:hint="eastAsia" w:eastAsia="仿宋_GB2312"/>
          <w:kern w:val="0"/>
          <w:sz w:val="32"/>
          <w:szCs w:val="32"/>
          <w:lang w:val="en-US" w:eastAsia="zh-CN"/>
        </w:rPr>
        <w:t>2</w:t>
      </w:r>
      <w:r>
        <w:rPr>
          <w:rFonts w:hint="eastAsia" w:eastAsia="仿宋_GB2312"/>
          <w:kern w:val="0"/>
          <w:sz w:val="32"/>
          <w:szCs w:val="32"/>
          <w:lang w:eastAsia="zh-CN"/>
        </w:rPr>
        <w:t>年市本级一般公共预算拨款项目支出预算</w:t>
      </w:r>
      <w:r>
        <w:rPr>
          <w:rFonts w:hint="eastAsia" w:eastAsia="仿宋_GB2312"/>
          <w:kern w:val="0"/>
          <w:sz w:val="32"/>
          <w:szCs w:val="32"/>
          <w:lang w:val="en-US" w:eastAsia="zh-CN"/>
        </w:rPr>
        <w:t>407</w:t>
      </w:r>
      <w:r>
        <w:rPr>
          <w:rFonts w:hint="eastAsia" w:eastAsia="仿宋_GB2312"/>
          <w:kern w:val="0"/>
          <w:sz w:val="32"/>
          <w:szCs w:val="32"/>
          <w:lang w:eastAsia="zh-CN"/>
        </w:rPr>
        <w:t>万元，其中路灯维护费</w:t>
      </w:r>
      <w:r>
        <w:rPr>
          <w:rFonts w:hint="eastAsia" w:eastAsia="仿宋_GB2312"/>
          <w:kern w:val="0"/>
          <w:sz w:val="32"/>
          <w:szCs w:val="32"/>
          <w:lang w:val="en-US" w:eastAsia="zh-CN"/>
        </w:rPr>
        <w:t>30</w:t>
      </w:r>
      <w:r>
        <w:rPr>
          <w:rFonts w:hint="eastAsia" w:eastAsia="仿宋_GB2312"/>
          <w:kern w:val="0"/>
          <w:sz w:val="32"/>
          <w:szCs w:val="32"/>
          <w:lang w:eastAsia="zh-CN"/>
        </w:rPr>
        <w:t>万</w:t>
      </w:r>
      <w:r>
        <w:rPr>
          <w:rFonts w:hint="eastAsia" w:eastAsia="仿宋_GB2312"/>
          <w:kern w:val="0"/>
          <w:sz w:val="32"/>
          <w:szCs w:val="32"/>
          <w:lang w:val="en-US" w:eastAsia="zh-CN"/>
        </w:rPr>
        <w:t>元</w:t>
      </w:r>
      <w:r>
        <w:rPr>
          <w:rFonts w:hint="eastAsia" w:eastAsia="仿宋_GB2312"/>
          <w:kern w:val="0"/>
          <w:sz w:val="32"/>
          <w:szCs w:val="32"/>
          <w:lang w:eastAsia="zh-CN"/>
        </w:rPr>
        <w:t>，智能监控系统维护费</w:t>
      </w:r>
      <w:r>
        <w:rPr>
          <w:rFonts w:hint="eastAsia" w:eastAsia="仿宋_GB2312"/>
          <w:kern w:val="0"/>
          <w:sz w:val="32"/>
          <w:szCs w:val="32"/>
          <w:lang w:val="en-US" w:eastAsia="zh-CN"/>
        </w:rPr>
        <w:t>27万元，路灯电费350万元</w:t>
      </w:r>
      <w:r>
        <w:rPr>
          <w:rFonts w:hint="eastAsia" w:eastAsia="仿宋_GB2312"/>
          <w:kern w:val="0"/>
          <w:sz w:val="32"/>
          <w:szCs w:val="32"/>
          <w:lang w:eastAsia="zh-CN"/>
        </w:rPr>
        <w:t>。均按照绩效目标完成资金使用。</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无</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无</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2022年为了加强财务管理、厉行节约、制止浪费，根据有关法律法规，结合我单位实际，进一步完善了财务审批管理、预算管理、固定资产管理、公务卡使用管理等一系列管理制度。在资金使用上严格遵守各项财政法规和财务管理制度规定，审计相关经费严格按照市财政相关规定进行管理，资金拨付有完整的审批程序和手续，严格按预算批复的用途支付，资金使用无截留、挤占、挪用、虚列支出等违规现象。</w:t>
      </w:r>
    </w:p>
    <w:p>
      <w:pPr>
        <w:spacing w:line="600" w:lineRule="exact"/>
        <w:ind w:firstLine="640" w:firstLineChars="200"/>
        <w:jc w:val="both"/>
        <w:rPr>
          <w:rFonts w:hint="eastAsia" w:eastAsia="仿宋_GB2312"/>
          <w:kern w:val="0"/>
          <w:sz w:val="32"/>
          <w:szCs w:val="32"/>
          <w:lang w:val="en-US" w:eastAsia="zh-CN"/>
        </w:rPr>
      </w:pPr>
      <w:r>
        <w:rPr>
          <w:rFonts w:hint="eastAsia" w:ascii="仿宋" w:hAnsi="仿宋" w:eastAsia="仿宋" w:cs="仿宋"/>
          <w:color w:val="auto"/>
          <w:sz w:val="32"/>
          <w:szCs w:val="32"/>
          <w:lang w:val="en-US" w:eastAsia="zh-CN"/>
        </w:rPr>
        <w:t>2022年以来，</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城管</w:t>
      </w:r>
      <w:r>
        <w:rPr>
          <w:rFonts w:hint="eastAsia" w:ascii="仿宋" w:hAnsi="仿宋" w:eastAsia="仿宋" w:cs="仿宋"/>
          <w:color w:val="auto"/>
          <w:sz w:val="32"/>
          <w:szCs w:val="32"/>
        </w:rPr>
        <w:t>局</w:t>
      </w:r>
      <w:r>
        <w:rPr>
          <w:rFonts w:hint="eastAsia" w:ascii="仿宋" w:hAnsi="仿宋" w:eastAsia="仿宋" w:cs="仿宋"/>
          <w:color w:val="auto"/>
          <w:sz w:val="32"/>
          <w:szCs w:val="32"/>
          <w:lang w:val="en-US" w:eastAsia="zh-CN"/>
        </w:rPr>
        <w:t>党组正确</w:t>
      </w:r>
      <w:r>
        <w:rPr>
          <w:rFonts w:hint="eastAsia" w:ascii="仿宋" w:hAnsi="仿宋" w:eastAsia="仿宋" w:cs="仿宋"/>
          <w:color w:val="auto"/>
          <w:sz w:val="32"/>
          <w:szCs w:val="32"/>
        </w:rPr>
        <w:t>的领导下，</w:t>
      </w:r>
      <w:r>
        <w:rPr>
          <w:rFonts w:hint="eastAsia" w:ascii="仿宋" w:hAnsi="仿宋" w:eastAsia="仿宋" w:cs="仿宋"/>
          <w:color w:val="auto"/>
          <w:sz w:val="32"/>
          <w:szCs w:val="32"/>
          <w:lang w:val="en-US" w:eastAsia="zh-CN"/>
        </w:rPr>
        <w:t>我单位全体干职工</w:t>
      </w:r>
      <w:r>
        <w:rPr>
          <w:rFonts w:hint="eastAsia" w:ascii="仿宋" w:hAnsi="仿宋" w:eastAsia="仿宋" w:cs="仿宋"/>
          <w:color w:val="auto"/>
          <w:sz w:val="32"/>
          <w:szCs w:val="32"/>
        </w:rPr>
        <w:t>与时俱进，锐意进取，发扬“团结、奉献、务实、高效”的路灯</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精神，紧紧围绕路灯维护管理中心工作，始终践行方便群众</w:t>
      </w:r>
      <w:r>
        <w:rPr>
          <w:rFonts w:hint="eastAsia" w:ascii="仿宋" w:hAnsi="仿宋" w:eastAsia="仿宋" w:cs="仿宋"/>
          <w:color w:val="auto"/>
          <w:sz w:val="32"/>
          <w:szCs w:val="32"/>
          <w:lang w:val="en-US" w:eastAsia="zh-CN"/>
        </w:rPr>
        <w:t>夜间</w:t>
      </w:r>
      <w:r>
        <w:rPr>
          <w:rFonts w:hint="eastAsia" w:ascii="仿宋" w:hAnsi="仿宋" w:eastAsia="仿宋" w:cs="仿宋"/>
          <w:color w:val="auto"/>
          <w:sz w:val="32"/>
          <w:szCs w:val="32"/>
        </w:rPr>
        <w:t>出行的服务理念，不断追求更高的工作效率、更优的服务质量、更快捷的运行机制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较好地完成了各项工作任务</w:t>
      </w:r>
      <w:r>
        <w:rPr>
          <w:rFonts w:hint="eastAsia" w:ascii="仿宋" w:hAnsi="仿宋" w:eastAsia="仿宋" w:cs="仿宋"/>
          <w:color w:val="auto"/>
          <w:sz w:val="32"/>
          <w:szCs w:val="32"/>
          <w:lang w:eastAsia="zh-CN"/>
        </w:rPr>
        <w:t>。</w:t>
      </w:r>
    </w:p>
    <w:p>
      <w:pPr>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共维修路灯1962盏，维修路灯线路124次，共2240米。维修控制电源箱78次，接收“12345”热线29，接收处理“市民热线”82起，排查路灯亮化线路安全隐患59处。确保亮灯率始终保持在98%以上。完成了健民路生态停车场40基路灯、二中拆围透绿改造50基路灯、昌盛街及荣家坪等背街小巷36基路灯、通江路60基路灯、城北路14基路灯的安装任务。配合友谊河综合治理荣家路桥重点工程建设路灯拆除工作。</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1、路灯维护费使用超预算支出，结合实际情况，请财政酌情考虑适当增加下年预算。</w:t>
      </w:r>
    </w:p>
    <w:p>
      <w:pPr>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2、资产管理需要进一步精细化管理，加强新购、使用、调整、报废处置等流程的报批管控程序。</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遵循预算管理办法，制定和完善基本支出、项目支出等各项支出标准，严格按项目和进度执行预算，增强预算的约束力和严肃性。</w:t>
      </w:r>
    </w:p>
    <w:p>
      <w:pPr>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推行重大事项部务会集体研究制度，财务支出部务会公开制度，落实预算执行分析，及时了解预算执行差异，合理调整、纠正预算执行偏差，切实提高部门预算收支管理水平。</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eastAsia="zh-CN"/>
        </w:rPr>
        <w:t>我单位将针对绩效自评中发现的问题，加强内部相关科室的沟通协调，采取切实可行的整改举措并落实到位，扎实做好绩效评价工作。同时，根据市财政局统一通知，在汨罗市门户网站公开202</w:t>
      </w:r>
      <w:r>
        <w:rPr>
          <w:rFonts w:hint="eastAsia" w:eastAsia="仿宋_GB2312"/>
          <w:kern w:val="0"/>
          <w:sz w:val="32"/>
          <w:szCs w:val="32"/>
          <w:lang w:val="en-US" w:eastAsia="zh-CN"/>
        </w:rPr>
        <w:t>2</w:t>
      </w:r>
      <w:r>
        <w:rPr>
          <w:rFonts w:hint="eastAsia" w:eastAsia="仿宋_GB2312"/>
          <w:kern w:val="0"/>
          <w:sz w:val="32"/>
          <w:szCs w:val="32"/>
          <w:lang w:eastAsia="zh-CN"/>
        </w:rPr>
        <w:t>年我单位部门整体支出绩效自评报告，接受社会监督。</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w:t>
      </w:r>
      <w:r>
        <w:rPr>
          <w:rFonts w:ascii="黑体" w:hAnsi="黑体" w:eastAsia="黑体" w:cs="黑体"/>
          <w:spacing w:val="15"/>
          <w:position w:val="10"/>
          <w:sz w:val="42"/>
          <w:szCs w:val="42"/>
        </w:rPr>
        <w:t>2</w:t>
      </w:r>
      <w:r>
        <w:rPr>
          <w:rFonts w:hint="eastAsia" w:ascii="黑体" w:hAnsi="黑体" w:eastAsia="黑体" w:cs="黑体"/>
          <w:spacing w:val="15"/>
          <w:position w:val="10"/>
          <w:sz w:val="42"/>
          <w:szCs w:val="42"/>
          <w:lang w:val="en-US" w:eastAsia="zh-CN"/>
        </w:rPr>
        <w:t>2</w:t>
      </w:r>
      <w:r>
        <w:rPr>
          <w:rFonts w:ascii="黑体" w:hAnsi="黑体" w:eastAsia="黑体" w:cs="黑体"/>
          <w:spacing w:val="15"/>
          <w:position w:val="10"/>
          <w:sz w:val="42"/>
          <w:szCs w:val="42"/>
        </w:rPr>
        <w:t xml:space="preserve"> 年度</w:t>
      </w:r>
      <w:r>
        <w:rPr>
          <w:rFonts w:hint="eastAsia" w:ascii="黑体" w:hAnsi="黑体" w:eastAsia="黑体" w:cs="黑体"/>
          <w:spacing w:val="15"/>
          <w:position w:val="10"/>
          <w:sz w:val="42"/>
          <w:szCs w:val="42"/>
          <w:lang w:val="en-US" w:eastAsia="zh-CN"/>
        </w:rPr>
        <w:t>路灯维护费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围绕城市路灯维护管理中心工作，始终践行方便群众出行的服务理念，不断追求更高的工作效率、更优的服务质量、更快捷的运行机制。紧紧围绕城市照明建设、管理和服务三大理念，常抓不懈搞好路灯、亮化维护管理工作，全力服务好政府投资路灯工程项目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1、资金到位情况：路灯维护费项目经费年初预算为30万元，到账资30万元，实际支付30万元。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2、项目资金执行情况：根据实际工作情况，路灯维护费共支出44万元，此笔专项主要用于智能监控系统的日常维护。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3．项目资金管理情况：制定了财务管理制度，严格执行资金使用管理的相关规定，突出重点，集中用于应急突发性、临时性重大事件专项处理；科学安排，合理编制预算，精打细算，厉行节约，避免随意使用；单独核算，专款专用，纳入单位财务统一管理，严禁挪作他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该项目年度总体目标为城市路灯管理和维护，提高路灯系统的管理水平，节约能源。实际完成100%。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1、产出数量指标：年度指标值为维修路灯2500盏，维修路灯线路120次，共3356米。维修控制电源箱180次，排查路灯亮化线路安全隐患20处。确保亮灯率始终保持在98%以上。实际完成100%。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2、产出质量指标：年度指标值为城区路灯维修维护提升。实际完成100%。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3、产出时效指标：各项工作完成时间2022.1.1-2022.12.31。实际完成100%。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4、经济效益指标：年度指标值为节约共用照明。实际完成为100%。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5、社会效益指标：年度指标值为对提高群众生活水平、促进和谐社会提升程度，效果明显。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6、生态效益指标：年度指标值为保障居民夜间出行安全，有效提升。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7、服务对象满意度：年度指标值为社会群众满意度≥ 95% ，实际完成为98%。</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局绩效自评工作小组于2023年4月30日到5月15日对路灯维护费项目经费使用情况进行了认真审核，对相关情况进行了认真地汇总分析，按照《汨罗市项目支出绩效评价指标体系》提出的各项指标，进行了打分，严格绩效自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综合分析，路灯维护费项目经费的使用符合使用规定，根据城市规划，继续加强了城区主干道、次干道等重要路段的路灯、亮化配电设施的日常维护力度，同时对城区边缘地区和线路设施有质量问题的路段要重点投入了人力物力财力，解决了日常维护中的根本性问题，夯实了日常维护基础性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绩效评价自评小组根据绩效评价方案，自评得分98分。考评结果为优秀。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我单位路灯维护费项目经费的使用按照局机关财务管理制度有关规定执行，在使用时注重实效，坚持3人会审制度，金额较大的费用报局分管领导签字后，按政府采购流程执行。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1、我单位高度重视专项资金使用的组织工作，开专题会布置工作目标任务并作具体安排。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2、组织保障，专项支出有专门的组织机构负责，配备专门人员管理。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3、各小组联动，确保专项支出从预算编制到结果应用，全程受控。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在采购过程中，严格按照市采购办规定，在政采云电子卖场上选择优质的商家进行合作，再根据相关规定，由采购负责人进行跟进监管，验收后报分管财务领导审批后拨付。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1、产出数量指标：年度指标值为维修路灯2500盏，维修路灯线路120次，共3356米。维修控制电源箱180次，排查路灯亮化线路安全隐患20处。确保亮灯率始终保持在98%以上。实际完成100%。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2、产出质量指标：年度指标值为城区路灯维修维护提升。实际完成100%。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3、产出时效指标：各项工作完成时间2022.1.1-2022.12.31。实际完成100%。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1、经济效益指标：年度指标值为节约共用照明。实际完成为100%。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2、社会效益指标：年度指标值为对提高群众生活水平、促进和谐社会提升程度，效果明显。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3、生态效益指标：年度指标值为保障居民夜间出行安全，有效提升。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主要是领导重视，开专题会布置工作或作重要批示；组织保障，有专门的组织机构，配备专门人员。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spacing w:line="600" w:lineRule="exact"/>
        <w:ind w:firstLine="640" w:firstLineChars="200"/>
        <w:jc w:val="both"/>
        <w:rPr>
          <w:rFonts w:ascii="黑体" w:hAnsi="黑体" w:eastAsia="黑体" w:cs="黑体"/>
          <w:b/>
          <w:bCs/>
          <w:spacing w:val="-15"/>
          <w:sz w:val="31"/>
          <w:szCs w:val="31"/>
        </w:rPr>
      </w:pPr>
      <w:r>
        <w:rPr>
          <w:rFonts w:hint="eastAsia" w:ascii="仿宋" w:hAnsi="仿宋" w:eastAsia="仿宋" w:cs="仿宋"/>
          <w:color w:val="auto"/>
          <w:sz w:val="32"/>
          <w:szCs w:val="32"/>
          <w:lang w:val="en-US" w:eastAsia="zh-CN"/>
        </w:rPr>
        <w:t>路灯维护费使用超预算支出，结合实际情况，请财政酌情考虑适当增加下年预算。</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ind w:firstLine="560" w:firstLineChars="200"/>
        <w:rPr>
          <w:rFonts w:hint="eastAsia"/>
          <w:sz w:val="28"/>
          <w:szCs w:val="36"/>
          <w:lang w:eastAsia="zh-CN"/>
        </w:rPr>
      </w:pPr>
      <w:r>
        <w:rPr>
          <w:rFonts w:hint="eastAsia"/>
          <w:sz w:val="28"/>
          <w:szCs w:val="36"/>
          <w:lang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0F39413-640F-4BF2-987A-8CC0EB285AA4}"/>
  </w:font>
  <w:font w:name="黑体">
    <w:panose1 w:val="02010609060101010101"/>
    <w:charset w:val="86"/>
    <w:family w:val="auto"/>
    <w:pitch w:val="default"/>
    <w:sig w:usb0="800002BF" w:usb1="38CF7CFA" w:usb2="00000016" w:usb3="00000000" w:csb0="00040001" w:csb1="00000000"/>
    <w:embedRegular r:id="rId2" w:fontKey="{2BA3EE29-43CC-44A6-9723-BA438C883D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93BDC7E1-209A-46B6-984A-41887B4B476B}"/>
  </w:font>
  <w:font w:name="仿宋_GB2312">
    <w:panose1 w:val="02010609030101010101"/>
    <w:charset w:val="86"/>
    <w:family w:val="modern"/>
    <w:pitch w:val="default"/>
    <w:sig w:usb0="00000001" w:usb1="080E0000" w:usb2="00000000" w:usb3="00000000" w:csb0="00040000" w:csb1="00000000"/>
    <w:embedRegular r:id="rId4" w:fontKey="{4B5D9416-C825-4CE7-9D97-E1E9A69BF39C}"/>
  </w:font>
  <w:font w:name="方正小标宋简体">
    <w:panose1 w:val="02000000000000000000"/>
    <w:charset w:val="86"/>
    <w:family w:val="script"/>
    <w:pitch w:val="default"/>
    <w:sig w:usb0="00000001" w:usb1="08000000" w:usb2="00000000" w:usb3="00000000" w:csb0="00040000" w:csb1="00000000"/>
    <w:embedRegular r:id="rId5" w:fontKey="{7A5FDBA1-4BED-47EB-BB74-97D487FF15D4}"/>
  </w:font>
  <w:font w:name="楷体_GB2312">
    <w:panose1 w:val="02010609030101010101"/>
    <w:charset w:val="86"/>
    <w:family w:val="modern"/>
    <w:pitch w:val="default"/>
    <w:sig w:usb0="00000001" w:usb1="080E0000" w:usb2="00000000" w:usb3="00000000" w:csb0="00040000" w:csb1="00000000"/>
    <w:embedRegular r:id="rId6" w:fontKey="{D64D3020-CF9F-472A-8F92-1A7A5DDFA9AC}"/>
  </w:font>
  <w:font w:name="楷体">
    <w:panose1 w:val="02010609060101010101"/>
    <w:charset w:val="86"/>
    <w:family w:val="auto"/>
    <w:pitch w:val="default"/>
    <w:sig w:usb0="800002BF" w:usb1="38CF7CFA" w:usb2="00000016" w:usb3="00000000" w:csb0="00040001" w:csb1="00000000"/>
    <w:embedRegular r:id="rId7" w:fontKey="{5D895E63-193C-4EEA-BC8C-FBE69D2862CE}"/>
  </w:font>
  <w:font w:name="方正黑体_GBK">
    <w:altName w:val="微软雅黑"/>
    <w:panose1 w:val="03000509000000000000"/>
    <w:charset w:val="86"/>
    <w:family w:val="script"/>
    <w:pitch w:val="default"/>
    <w:sig w:usb0="00000000" w:usb1="00000000" w:usb2="00000000" w:usb3="00000000" w:csb0="00040000" w:csb1="00000000"/>
    <w:embedRegular r:id="rId8" w:fontKey="{A622DDC1-90CE-4B9A-8A25-AF4E582601B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455CD"/>
    <w:multiLevelType w:val="singleLevel"/>
    <w:tmpl w:val="FF8455C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xNjE5MWE3MTBiNjE4MDlhOTM0MTQ5YWYyOWU3OGQifQ=="/>
  </w:docVars>
  <w:rsids>
    <w:rsidRoot w:val="00000000"/>
    <w:rsid w:val="01AF3811"/>
    <w:rsid w:val="03795BF7"/>
    <w:rsid w:val="086E756B"/>
    <w:rsid w:val="0ACF37E5"/>
    <w:rsid w:val="0B400BC6"/>
    <w:rsid w:val="0DCF0F28"/>
    <w:rsid w:val="0E68228D"/>
    <w:rsid w:val="15276E52"/>
    <w:rsid w:val="19D32FBC"/>
    <w:rsid w:val="1E6A4395"/>
    <w:rsid w:val="249E1631"/>
    <w:rsid w:val="25557A3D"/>
    <w:rsid w:val="26EA5ED7"/>
    <w:rsid w:val="27A93B82"/>
    <w:rsid w:val="2AE00186"/>
    <w:rsid w:val="2C204B37"/>
    <w:rsid w:val="308216BE"/>
    <w:rsid w:val="34FE1149"/>
    <w:rsid w:val="3A550786"/>
    <w:rsid w:val="3B7A130F"/>
    <w:rsid w:val="4F8B6063"/>
    <w:rsid w:val="52FA3F96"/>
    <w:rsid w:val="55850F17"/>
    <w:rsid w:val="57AE6D93"/>
    <w:rsid w:val="5FB623A7"/>
    <w:rsid w:val="6A905752"/>
    <w:rsid w:val="6D0475EA"/>
    <w:rsid w:val="6E3851B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5228</Words>
  <Characters>5919</Characters>
  <TotalTime>1</TotalTime>
  <ScaleCrop>false</ScaleCrop>
  <LinksUpToDate>false</LinksUpToDate>
  <CharactersWithSpaces>6017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2024-05-21T14:05:00Z</cp:lastPrinted>
  <dcterms:modified xsi:type="dcterms:W3CDTF">2024-07-09T02:49:22Z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775F4D963B3A49A298A01B6AEE380367_13</vt:lpwstr>
  </property>
</Properties>
</file>