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260" w:firstLineChars="6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7.24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spacing w:before="117" w:line="219" w:lineRule="auto"/>
        <w:jc w:val="left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spacing w:before="117" w:line="219" w:lineRule="auto"/>
        <w:jc w:val="left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向葵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2024年7月3日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15074083078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黄青竹</w:t>
      </w:r>
    </w:p>
    <w:p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单位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汨罗市罗城医院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259.49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259.49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259.49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13.77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259.49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其他资金：245.72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确保100%完成保障民生工作任务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sz w:val="16"/>
                <w:szCs w:val="16"/>
              </w:rPr>
            </w:pPr>
          </w:p>
          <w:p>
            <w:pPr>
              <w:bidi w:val="0"/>
              <w:ind w:firstLine="380" w:firstLineChars="0"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本年收入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200</w:t>
            </w:r>
            <w:r>
              <w:rPr>
                <w:rFonts w:hint="eastAsia"/>
                <w:sz w:val="16"/>
                <w:szCs w:val="16"/>
              </w:rPr>
              <w:t>万元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200万元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332.86万元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202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</w:rPr>
              <w:t>年完成绩效目标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及时完成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90%完成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423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没有及时完成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医疗收入及成果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完成指标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及时完成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423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医疗收入未明显增加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改善服务病友的就医体验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效益显著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效益显著提高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坚持绿色环保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效果显著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效果显著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坚持可持续发展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逐步实行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eastAsia="zh-CN"/>
              </w:rPr>
              <w:t>效果显著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就医病友对相关工作的满意度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sz w:val="16"/>
                <w:szCs w:val="16"/>
              </w:rPr>
            </w:pPr>
          </w:p>
          <w:p>
            <w:pPr>
              <w:bidi w:val="0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sz w:val="16"/>
                <w:szCs w:val="16"/>
              </w:rPr>
              <w:t>≥90%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97%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降低成本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逐步降低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逐步降低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3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成本控制不够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降低成本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逐步降低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逐步降低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3" w:type="dxa"/>
            <w:vAlign w:val="top"/>
          </w:tcPr>
          <w:p>
            <w:pPr>
              <w:pStyle w:val="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成本控制不够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93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default"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向葵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2024年7月3日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15074083078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黄青竹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hint="default" w:ascii="仿宋_GB2312" w:hAnsi="宋体" w:eastAsia="仿宋_GB2312" w:cs="宋体"/>
          <w:lang w:val="en-US" w:eastAsia="zh-CN"/>
        </w:rPr>
        <w:sectPr>
          <w:footerReference r:id="rId5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 xml:space="preserve">向葵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2024年7月3日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15074083078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黄青竹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汨罗市罗城医院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单位名称:汨罗市罗城医院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2023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7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 xml:space="preserve">3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汨罗市罗城医院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（一）本院主要从事血吸虫病治疗的专科医院，并设有内科、血吸虫病科、中医理疗科、牙科、等临床科室，医技科室有B超、放射、检验、心电图等。社卫中心设有公卫科、妇保科、儿保科、计免科（预防接种）、健康教育及计划生育技术指导等。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（二）本院收入主要用于血吸虫病人的门诊及住院病人治疗，主要内容包括检查费，治疗费，药品费，水电费，人员经费支出等。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本院整体支出按量入为出及专款专用、专人管理的原则，使用情况总体收支平衡。基本支出259.49万元。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2"/>
        <w:numPr>
          <w:ilvl w:val="0"/>
          <w:numId w:val="0"/>
        </w:numPr>
        <w:spacing w:before="219" w:line="226" w:lineRule="auto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本单位无项目支出。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本单位无政府性基金预算支出。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本单位无国有资本经营预算支出。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本单位无社会保障基金预算支出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本单位整体支出绩效保持收支平衡，量入为出，专款专用、专人管理，完成情况较好。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历年流动负债有增加趋势，主要原因为应付账款增加。医院财政拨款较少，每年预算为2.5万元，药品需求量较大，资金周转不过来。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>
      <w:pPr>
        <w:numPr>
          <w:ilvl w:val="0"/>
          <w:numId w:val="0"/>
        </w:numPr>
        <w:spacing w:line="600" w:lineRule="exact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增收节支，对职工工资实行绩效考核。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numPr>
          <w:ilvl w:val="0"/>
          <w:numId w:val="0"/>
        </w:numPr>
        <w:spacing w:line="600" w:lineRule="exact"/>
        <w:ind w:firstLine="536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后续将继续努力改进绩效方案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</w:t>
      </w:r>
    </w:p>
    <w:p>
      <w:pPr>
        <w:spacing w:line="600" w:lineRule="exact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</w:t>
      </w:r>
      <w:r>
        <w:rPr>
          <w:rFonts w:hint="eastAsia"/>
          <w:spacing w:val="-22"/>
          <w:sz w:val="27"/>
          <w:szCs w:val="27"/>
          <w:u w:val="single" w:color="auto"/>
          <w:lang w:val="en-US" w:eastAsia="zh-CN"/>
        </w:rPr>
        <w:t>汨罗市罗城医院</w:t>
      </w:r>
      <w:r>
        <w:rPr>
          <w:spacing w:val="-22"/>
          <w:sz w:val="27"/>
          <w:szCs w:val="27"/>
          <w:u w:val="single" w:color="auto"/>
        </w:rPr>
        <w:t xml:space="preserve">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2023 </w:t>
      </w:r>
      <w:r>
        <w:rPr>
          <w:spacing w:val="-13"/>
          <w:position w:val="26"/>
          <w:sz w:val="27"/>
          <w:szCs w:val="27"/>
        </w:rPr>
        <w:t xml:space="preserve">年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7 </w:t>
      </w:r>
      <w:r>
        <w:rPr>
          <w:spacing w:val="-13"/>
          <w:position w:val="26"/>
          <w:sz w:val="27"/>
          <w:szCs w:val="27"/>
        </w:rPr>
        <w:t>月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 xml:space="preserve">3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6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</w:p>
    <w:sectPr>
      <w:footerReference r:id="rId7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474DF"/>
    <w:multiLevelType w:val="singleLevel"/>
    <w:tmpl w:val="A1A474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CFD4D1"/>
    <w:multiLevelType w:val="singleLevel"/>
    <w:tmpl w:val="65CFD4D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mNGE5ODBmYjRiODc2YmE2MDMxZWIyN2Q2MGNjZTUifQ=="/>
  </w:docVars>
  <w:rsids>
    <w:rsidRoot w:val="00000000"/>
    <w:rsid w:val="01AF3811"/>
    <w:rsid w:val="033D7134"/>
    <w:rsid w:val="03795BF7"/>
    <w:rsid w:val="037B433C"/>
    <w:rsid w:val="086E756B"/>
    <w:rsid w:val="0ACF37E5"/>
    <w:rsid w:val="0B400BC6"/>
    <w:rsid w:val="0D441024"/>
    <w:rsid w:val="0E68228D"/>
    <w:rsid w:val="10280593"/>
    <w:rsid w:val="15276E52"/>
    <w:rsid w:val="19D32FBC"/>
    <w:rsid w:val="1E6A4395"/>
    <w:rsid w:val="25557A3D"/>
    <w:rsid w:val="25BD3AB7"/>
    <w:rsid w:val="26EA5ED7"/>
    <w:rsid w:val="27A93B82"/>
    <w:rsid w:val="2AE00186"/>
    <w:rsid w:val="2B21092A"/>
    <w:rsid w:val="2CF717B7"/>
    <w:rsid w:val="308216BE"/>
    <w:rsid w:val="34FE1149"/>
    <w:rsid w:val="3A550786"/>
    <w:rsid w:val="3B7A130F"/>
    <w:rsid w:val="3E246184"/>
    <w:rsid w:val="3ED4423A"/>
    <w:rsid w:val="494A31DB"/>
    <w:rsid w:val="4EC34D46"/>
    <w:rsid w:val="4F8B6063"/>
    <w:rsid w:val="4FBC2023"/>
    <w:rsid w:val="52FA3F96"/>
    <w:rsid w:val="55850F17"/>
    <w:rsid w:val="57AE6D93"/>
    <w:rsid w:val="58254B7B"/>
    <w:rsid w:val="5C846314"/>
    <w:rsid w:val="5D444736"/>
    <w:rsid w:val="5FB623A7"/>
    <w:rsid w:val="669C594C"/>
    <w:rsid w:val="6D3E4E45"/>
    <w:rsid w:val="6E3851B0"/>
    <w:rsid w:val="7AD324E9"/>
    <w:rsid w:val="7D661304"/>
    <w:rsid w:val="7ED67756"/>
    <w:rsid w:val="FE37A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2351</Words>
  <Characters>2534</Characters>
  <TotalTime>2</TotalTime>
  <ScaleCrop>false</ScaleCrop>
  <LinksUpToDate>false</LinksUpToDate>
  <CharactersWithSpaces>2613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2024-04-20T05:25:00Z</dcterms:created>
  <dc:creator>Administrator</dc:creator>
  <cp:lastModifiedBy>与你无关</cp:lastModifiedBy>
  <cp:lastPrinted>2024-05-21T22:05:00Z</cp:lastPrinted>
  <dcterms:modified xsi:type="dcterms:W3CDTF">2024-07-26T03:09:57Z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D11A4ED1169E403099122514ED789865_13</vt:lpwstr>
  </property>
</Properties>
</file>