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tbl>
      <w:tblPr>
        <w:tblStyle w:val="7"/>
        <w:tblpPr w:leftFromText="180" w:rightFromText="180" w:vertAnchor="text" w:horzAnchor="page" w:tblpXSpec="center" w:tblpY="140"/>
        <w:tblOverlap w:val="never"/>
        <w:tblW w:w="94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64</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64</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38.21</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18.8</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18.26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26.91</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w:t>
            </w:r>
          </w:p>
        </w:tc>
        <w:tc>
          <w:tcPr>
            <w:tcW w:w="1983" w:type="dxa"/>
            <w:gridSpan w:val="2"/>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val="en-US" w:eastAsia="zh-CN"/>
              </w:rPr>
              <w:t>8.64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21</w:t>
            </w: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5.91</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6</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11.3</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12.8</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563.69</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115</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5658.6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529.69</w:t>
            </w: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5543.6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pPr>
              <w:spacing w:line="240" w:lineRule="auto"/>
              <w:ind w:firstLine="420"/>
              <w:jc w:val="center"/>
              <w:rPr>
                <w:rFonts w:hint="default" w:ascii="仿宋_GB2312" w:eastAsia="仿宋_GB2312"/>
                <w:color w:val="auto"/>
                <w:kern w:val="0"/>
                <w:lang w:val="en-US" w:eastAsia="zh-CN"/>
              </w:rPr>
            </w:pPr>
            <w:r>
              <w:rPr>
                <w:rFonts w:hint="eastAsia" w:ascii="仿宋_GB2312" w:eastAsia="仿宋_GB2312"/>
                <w:color w:val="auto"/>
                <w:kern w:val="0"/>
                <w:lang w:val="en-US" w:eastAsia="zh-CN"/>
              </w:rPr>
              <w:t>34</w:t>
            </w:r>
          </w:p>
        </w:tc>
        <w:tc>
          <w:tcPr>
            <w:tcW w:w="2039" w:type="dxa"/>
            <w:gridSpan w:val="2"/>
            <w:vAlign w:val="center"/>
          </w:tcPr>
          <w:p>
            <w:pPr>
              <w:spacing w:line="240" w:lineRule="auto"/>
              <w:ind w:firstLine="420"/>
              <w:jc w:val="center"/>
              <w:rPr>
                <w:rFonts w:hint="default" w:ascii="仿宋_GB2312" w:eastAsia="仿宋_GB2312"/>
                <w:color w:val="auto"/>
                <w:kern w:val="0"/>
                <w:lang w:val="en-US" w:eastAsia="zh-CN"/>
              </w:rPr>
            </w:pPr>
            <w:r>
              <w:rPr>
                <w:rFonts w:hint="eastAsia" w:ascii="仿宋_GB2312" w:eastAsia="仿宋_GB2312"/>
                <w:color w:val="auto"/>
                <w:kern w:val="0"/>
                <w:lang w:val="en-US" w:eastAsia="zh-CN"/>
              </w:rPr>
              <w:t>115</w:t>
            </w:r>
          </w:p>
        </w:tc>
        <w:tc>
          <w:tcPr>
            <w:tcW w:w="1983" w:type="dxa"/>
            <w:gridSpan w:val="2"/>
            <w:vAlign w:val="center"/>
          </w:tcPr>
          <w:p>
            <w:pPr>
              <w:spacing w:line="240" w:lineRule="auto"/>
              <w:ind w:firstLine="420"/>
              <w:jc w:val="center"/>
              <w:rPr>
                <w:rFonts w:hint="default" w:ascii="仿宋_GB2312" w:eastAsia="仿宋_GB2312"/>
                <w:color w:val="auto"/>
                <w:kern w:val="0"/>
                <w:lang w:val="en-US" w:eastAsia="zh-CN"/>
              </w:rPr>
            </w:pPr>
            <w:r>
              <w:rPr>
                <w:rFonts w:hint="eastAsia" w:ascii="仿宋_GB2312" w:eastAsia="仿宋_GB2312"/>
                <w:color w:val="auto"/>
                <w:kern w:val="0"/>
                <w:lang w:val="en-US" w:eastAsia="zh-CN"/>
              </w:rPr>
              <w:t>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271" w:type="dxa"/>
            <w:vAlign w:val="center"/>
          </w:tcPr>
          <w:p>
            <w:pPr>
              <w:spacing w:line="240" w:lineRule="auto"/>
              <w:jc w:val="center"/>
              <w:rPr>
                <w:rFonts w:hint="eastAsia" w:ascii="仿宋_GB2312" w:hAnsi="宋体" w:eastAsia="仿宋_GB2312" w:cs="宋体"/>
                <w:kern w:val="0"/>
              </w:rPr>
            </w:pPr>
            <w:r>
              <w:rPr>
                <w:rFonts w:hint="eastAsia" w:ascii="仿宋_GB2312" w:eastAsia="仿宋_GB2312"/>
                <w:kern w:val="0"/>
                <w:lang w:eastAsia="zh-CN"/>
              </w:rPr>
              <w:t>传染病防控</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2039"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271"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地慢病、精神卫生及健康教育</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2039"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271"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计划免疫经费(含二类疫苗补助)</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w:t>
            </w:r>
          </w:p>
        </w:tc>
        <w:tc>
          <w:tcPr>
            <w:tcW w:w="2039"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271"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结核病防治和筛查</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8</w:t>
            </w:r>
          </w:p>
        </w:tc>
        <w:tc>
          <w:tcPr>
            <w:tcW w:w="2039"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271"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卫生监测和从业人员体检</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2039"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271"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疫情防控</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ind w:firstLine="420"/>
              <w:jc w:val="center"/>
              <w:rPr>
                <w:rFonts w:hint="default" w:ascii="仿宋_GB2312" w:eastAsia="仿宋_GB2312"/>
                <w:color w:val="auto"/>
                <w:kern w:val="0"/>
                <w:lang w:val="en-US" w:eastAsia="zh-CN"/>
              </w:rPr>
            </w:pPr>
            <w:r>
              <w:rPr>
                <w:rFonts w:hint="eastAsia" w:ascii="仿宋_GB2312" w:eastAsia="仿宋_GB2312"/>
                <w:color w:val="auto"/>
                <w:kern w:val="0"/>
                <w:lang w:val="en-US" w:eastAsia="zh-CN"/>
              </w:rPr>
              <w:t>3747.12</w:t>
            </w:r>
          </w:p>
        </w:tc>
        <w:tc>
          <w:tcPr>
            <w:tcW w:w="2039" w:type="dxa"/>
            <w:gridSpan w:val="2"/>
            <w:vAlign w:val="center"/>
          </w:tcPr>
          <w:p>
            <w:pPr>
              <w:spacing w:line="240" w:lineRule="auto"/>
              <w:ind w:firstLine="420"/>
              <w:jc w:val="center"/>
              <w:rPr>
                <w:rFonts w:hint="default" w:ascii="仿宋_GB2312" w:eastAsia="仿宋_GB2312"/>
                <w:color w:val="auto"/>
                <w:kern w:val="0"/>
                <w:lang w:val="en-US" w:eastAsia="zh-CN"/>
              </w:rPr>
            </w:pPr>
            <w:r>
              <w:rPr>
                <w:rFonts w:hint="eastAsia" w:ascii="仿宋_GB2312" w:eastAsia="仿宋_GB2312"/>
                <w:color w:val="auto"/>
                <w:kern w:val="0"/>
                <w:lang w:val="en-US" w:eastAsia="zh-CN"/>
              </w:rPr>
              <w:t>1111.49</w:t>
            </w:r>
          </w:p>
        </w:tc>
        <w:tc>
          <w:tcPr>
            <w:tcW w:w="1983" w:type="dxa"/>
            <w:gridSpan w:val="2"/>
            <w:vAlign w:val="center"/>
          </w:tcPr>
          <w:p>
            <w:pPr>
              <w:spacing w:line="240" w:lineRule="auto"/>
              <w:ind w:firstLine="420"/>
              <w:jc w:val="center"/>
              <w:rPr>
                <w:rFonts w:hint="default" w:ascii="仿宋_GB2312" w:eastAsia="仿宋_GB2312"/>
                <w:color w:val="auto"/>
                <w:kern w:val="0"/>
                <w:lang w:val="en-US" w:eastAsia="zh-CN"/>
              </w:rPr>
            </w:pPr>
            <w:r>
              <w:rPr>
                <w:rFonts w:hint="eastAsia" w:ascii="仿宋_GB2312" w:eastAsia="仿宋_GB2312"/>
                <w:color w:val="auto"/>
                <w:kern w:val="0"/>
                <w:lang w:val="en-US" w:eastAsia="zh-CN"/>
              </w:rPr>
              <w:t>1967.46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ind w:firstLine="420"/>
              <w:jc w:val="center"/>
              <w:rPr>
                <w:rFonts w:hint="default" w:ascii="仿宋_GB2312" w:eastAsia="仿宋_GB2312"/>
                <w:color w:val="auto"/>
                <w:kern w:val="0"/>
                <w:lang w:val="en-US" w:eastAsia="zh-CN"/>
              </w:rPr>
            </w:pPr>
            <w:r>
              <w:rPr>
                <w:rFonts w:hint="eastAsia" w:ascii="仿宋_GB2312" w:eastAsia="仿宋_GB2312"/>
                <w:color w:val="auto"/>
                <w:kern w:val="0"/>
                <w:lang w:val="en-US" w:eastAsia="zh-CN"/>
              </w:rPr>
              <w:t>10.72</w:t>
            </w:r>
          </w:p>
        </w:tc>
        <w:tc>
          <w:tcPr>
            <w:tcW w:w="2039" w:type="dxa"/>
            <w:gridSpan w:val="2"/>
            <w:vAlign w:val="center"/>
          </w:tcPr>
          <w:p>
            <w:pPr>
              <w:spacing w:line="240" w:lineRule="auto"/>
              <w:ind w:firstLine="420"/>
              <w:jc w:val="center"/>
              <w:rPr>
                <w:rFonts w:hint="default" w:ascii="仿宋_GB2312" w:eastAsia="仿宋_GB2312"/>
                <w:color w:val="auto"/>
                <w:kern w:val="0"/>
                <w:lang w:val="en-US" w:eastAsia="zh-CN"/>
              </w:rPr>
            </w:pPr>
            <w:r>
              <w:rPr>
                <w:rFonts w:hint="eastAsia" w:ascii="仿宋_GB2312" w:eastAsia="仿宋_GB2312"/>
                <w:color w:val="auto"/>
                <w:kern w:val="0"/>
                <w:lang w:val="en-US" w:eastAsia="zh-CN"/>
              </w:rPr>
              <w:t>7.68</w:t>
            </w:r>
          </w:p>
        </w:tc>
        <w:tc>
          <w:tcPr>
            <w:tcW w:w="1983" w:type="dxa"/>
            <w:gridSpan w:val="2"/>
            <w:vAlign w:val="center"/>
          </w:tcPr>
          <w:p>
            <w:pPr>
              <w:spacing w:line="240" w:lineRule="auto"/>
              <w:ind w:firstLine="420"/>
              <w:jc w:val="center"/>
              <w:rPr>
                <w:rFonts w:hint="default" w:ascii="仿宋_GB2312" w:eastAsia="仿宋_GB2312"/>
                <w:color w:val="auto"/>
                <w:kern w:val="0"/>
                <w:lang w:val="en-US" w:eastAsia="zh-CN"/>
              </w:rPr>
            </w:pPr>
            <w:r>
              <w:rPr>
                <w:rFonts w:hint="eastAsia" w:ascii="仿宋_GB2312" w:eastAsia="仿宋_GB2312"/>
                <w:color w:val="auto"/>
                <w:kern w:val="0"/>
                <w:lang w:val="en-US" w:eastAsia="zh-CN"/>
              </w:rPr>
              <w:t>28.13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ind w:firstLine="420"/>
              <w:jc w:val="center"/>
              <w:rPr>
                <w:rFonts w:hint="default" w:ascii="仿宋_GB2312" w:eastAsia="仿宋_GB2312"/>
                <w:color w:val="auto"/>
                <w:kern w:val="0"/>
                <w:lang w:val="en-US" w:eastAsia="zh-CN"/>
              </w:rPr>
            </w:pPr>
            <w:r>
              <w:rPr>
                <w:rFonts w:hint="eastAsia" w:ascii="仿宋_GB2312" w:eastAsia="仿宋_GB2312"/>
                <w:color w:val="auto"/>
                <w:kern w:val="0"/>
                <w:lang w:val="en-US" w:eastAsia="zh-CN"/>
              </w:rPr>
              <w:t>29.56</w:t>
            </w:r>
          </w:p>
        </w:tc>
        <w:tc>
          <w:tcPr>
            <w:tcW w:w="2039" w:type="dxa"/>
            <w:gridSpan w:val="2"/>
            <w:vAlign w:val="center"/>
          </w:tcPr>
          <w:p>
            <w:pPr>
              <w:spacing w:line="240" w:lineRule="auto"/>
              <w:ind w:firstLine="420"/>
              <w:jc w:val="center"/>
              <w:rPr>
                <w:rFonts w:hint="default" w:ascii="仿宋_GB2312" w:eastAsia="仿宋_GB2312"/>
                <w:color w:val="auto"/>
                <w:kern w:val="0"/>
                <w:lang w:val="en-US" w:eastAsia="zh-CN"/>
              </w:rPr>
            </w:pPr>
            <w:r>
              <w:rPr>
                <w:rFonts w:hint="eastAsia" w:ascii="仿宋_GB2312" w:eastAsia="仿宋_GB2312"/>
                <w:color w:val="auto"/>
                <w:kern w:val="0"/>
                <w:lang w:val="en-US" w:eastAsia="zh-CN"/>
              </w:rPr>
              <w:t>16</w:t>
            </w:r>
          </w:p>
        </w:tc>
        <w:tc>
          <w:tcPr>
            <w:tcW w:w="1983" w:type="dxa"/>
            <w:gridSpan w:val="2"/>
            <w:vAlign w:val="center"/>
          </w:tcPr>
          <w:p>
            <w:pPr>
              <w:spacing w:line="240" w:lineRule="auto"/>
              <w:ind w:firstLine="420"/>
              <w:jc w:val="center"/>
              <w:rPr>
                <w:rFonts w:hint="default" w:ascii="仿宋_GB2312" w:eastAsia="仿宋_GB2312"/>
                <w:color w:val="auto"/>
                <w:kern w:val="0"/>
                <w:lang w:val="en-US" w:eastAsia="zh-CN"/>
              </w:rPr>
            </w:pPr>
            <w:r>
              <w:rPr>
                <w:rFonts w:hint="eastAsia" w:ascii="仿宋_GB2312" w:eastAsia="仿宋_GB2312"/>
                <w:color w:val="auto"/>
                <w:kern w:val="0"/>
                <w:lang w:val="en-US" w:eastAsia="zh-CN"/>
              </w:rPr>
              <w:t>11.49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ind w:firstLine="420"/>
              <w:jc w:val="center"/>
              <w:rPr>
                <w:rFonts w:hint="default" w:ascii="仿宋_GB2312" w:eastAsia="仿宋_GB2312"/>
                <w:color w:val="auto"/>
                <w:kern w:val="0"/>
                <w:lang w:val="en-US" w:eastAsia="zh-CN"/>
              </w:rPr>
            </w:pPr>
            <w:r>
              <w:rPr>
                <w:rFonts w:hint="eastAsia" w:ascii="仿宋_GB2312" w:eastAsia="仿宋_GB2312"/>
                <w:color w:val="auto"/>
                <w:kern w:val="0"/>
                <w:lang w:val="en-US" w:eastAsia="zh-CN"/>
              </w:rPr>
              <w:t>12.18</w:t>
            </w:r>
          </w:p>
        </w:tc>
        <w:tc>
          <w:tcPr>
            <w:tcW w:w="2039" w:type="dxa"/>
            <w:gridSpan w:val="2"/>
            <w:vAlign w:val="center"/>
          </w:tcPr>
          <w:p>
            <w:pPr>
              <w:spacing w:line="240" w:lineRule="auto"/>
              <w:ind w:firstLine="420"/>
              <w:jc w:val="center"/>
              <w:rPr>
                <w:rFonts w:hint="default" w:ascii="仿宋_GB2312" w:eastAsia="仿宋_GB2312"/>
                <w:color w:val="auto"/>
                <w:kern w:val="0"/>
                <w:lang w:val="en-US" w:eastAsia="zh-CN"/>
              </w:rPr>
            </w:pPr>
            <w:r>
              <w:rPr>
                <w:rFonts w:hint="eastAsia" w:ascii="仿宋_GB2312" w:eastAsia="仿宋_GB2312"/>
                <w:color w:val="auto"/>
                <w:kern w:val="0"/>
                <w:lang w:val="en-US" w:eastAsia="zh-CN"/>
              </w:rPr>
              <w:t>6.4</w:t>
            </w:r>
          </w:p>
        </w:tc>
        <w:tc>
          <w:tcPr>
            <w:tcW w:w="1983" w:type="dxa"/>
            <w:gridSpan w:val="2"/>
            <w:vAlign w:val="center"/>
          </w:tcPr>
          <w:p>
            <w:pPr>
              <w:spacing w:line="240" w:lineRule="auto"/>
              <w:ind w:firstLine="420"/>
              <w:jc w:val="center"/>
              <w:rPr>
                <w:rFonts w:hint="default" w:ascii="仿宋_GB2312" w:eastAsia="仿宋_GB2312"/>
                <w:color w:val="auto"/>
                <w:kern w:val="0"/>
                <w:lang w:val="en-US" w:eastAsia="zh-CN"/>
              </w:rPr>
            </w:pPr>
            <w:r>
              <w:rPr>
                <w:rFonts w:hint="eastAsia" w:ascii="仿宋_GB2312" w:eastAsia="仿宋_GB2312"/>
                <w:color w:val="auto"/>
                <w:kern w:val="0"/>
                <w:lang w:val="en-US" w:eastAsia="zh-CN"/>
              </w:rPr>
              <w:t>11.22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222.66</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86.02</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86.02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jc w:val="center"/>
        </w:trPr>
        <w:tc>
          <w:tcPr>
            <w:tcW w:w="3271"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tcBorders>
              <w:lef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271" w:type="dxa"/>
            <w:vMerge w:val="continue"/>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tcBorders>
              <w:left w:val="single" w:color="auto" w:sz="4" w:space="0"/>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bl>
    <w:p>
      <w:pPr>
        <w:spacing w:line="177" w:lineRule="exact"/>
        <w:ind w:firstLine="420"/>
        <w:jc w:val="center"/>
        <w:rPr>
          <w:kern w:val="0"/>
          <w:lang w:eastAsia="zh-CN"/>
        </w:rPr>
      </w:pPr>
    </w:p>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pPr>
    </w:p>
    <w:p>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pPr>
        <w:keepNext w:val="0"/>
        <w:keepLines w:val="0"/>
        <w:pageBreakBefore w:val="0"/>
        <w:widowControl/>
        <w:kinsoku w:val="0"/>
        <w:wordWrap/>
        <w:overflowPunct/>
        <w:topLinePunct w:val="0"/>
        <w:autoSpaceDE w:val="0"/>
        <w:autoSpaceDN w:val="0"/>
        <w:bidi w:val="0"/>
        <w:adjustRightInd w:val="0"/>
        <w:snapToGrid w:val="0"/>
        <w:spacing w:line="219" w:lineRule="auto"/>
        <w:ind w:firstLine="618"/>
        <w:jc w:val="left"/>
        <w:textAlignment w:val="baseline"/>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both"/>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tbl>
      <w:tblPr>
        <w:tblStyle w:val="7"/>
        <w:tblpPr w:leftFromText="180" w:rightFromText="180" w:vertAnchor="text" w:horzAnchor="page" w:tblpX="1146" w:tblpY="169"/>
        <w:tblOverlap w:val="never"/>
        <w:tblW w:w="99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468"/>
        <w:gridCol w:w="1099"/>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汨罗市疾病预防控制中心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jc w:val="center"/>
              <w:rPr>
                <w:rFonts w:ascii="仿宋_GB2312" w:eastAsia="仿宋_GB2312"/>
                <w:kern w:val="0"/>
              </w:rPr>
            </w:pPr>
          </w:p>
        </w:tc>
        <w:tc>
          <w:tcPr>
            <w:tcW w:w="12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_GB2312" w:hAnsi="宋体" w:eastAsia="仿宋_GB2312" w:cs="宋体"/>
                <w:kern w:val="0"/>
              </w:rPr>
            </w:pPr>
            <w:r>
              <w:rPr>
                <w:rFonts w:hint="eastAsia" w:ascii="仿宋_GB2312" w:hAnsi="宋体" w:eastAsia="仿宋_GB2312" w:cs="宋体"/>
                <w:kern w:val="0"/>
              </w:rPr>
              <w:t>年初</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eastAsia="仿宋_GB2312"/>
                <w:kern w:val="0"/>
              </w:rPr>
            </w:pPr>
            <w:r>
              <w:rPr>
                <w:rFonts w:hint="eastAsia" w:ascii="仿宋_GB2312" w:hAnsi="宋体" w:eastAsia="仿宋_GB2312" w:cs="宋体"/>
                <w:kern w:val="0"/>
              </w:rPr>
              <w:t>预算数</w:t>
            </w:r>
          </w:p>
        </w:tc>
        <w:tc>
          <w:tcPr>
            <w:tcW w:w="146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_GB2312" w:hAnsi="宋体" w:eastAsia="仿宋_GB2312" w:cs="宋体"/>
                <w:kern w:val="0"/>
              </w:rPr>
            </w:pPr>
            <w:r>
              <w:rPr>
                <w:rFonts w:hint="eastAsia" w:ascii="仿宋_GB2312" w:hAnsi="宋体" w:eastAsia="仿宋_GB2312" w:cs="宋体"/>
                <w:kern w:val="0"/>
              </w:rPr>
              <w:t>全年</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eastAsia="仿宋_GB2312"/>
                <w:kern w:val="0"/>
              </w:rPr>
            </w:pPr>
            <w:r>
              <w:rPr>
                <w:rFonts w:hint="eastAsia" w:ascii="仿宋_GB2312" w:hAnsi="宋体" w:eastAsia="仿宋_GB2312" w:cs="宋体"/>
                <w:kern w:val="0"/>
              </w:rPr>
              <w:t>预算数</w:t>
            </w: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_GB2312" w:hAnsi="宋体" w:eastAsia="仿宋_GB2312" w:cs="宋体"/>
                <w:kern w:val="0"/>
              </w:rPr>
            </w:pPr>
            <w:r>
              <w:rPr>
                <w:rFonts w:hint="eastAsia" w:ascii="仿宋_GB2312" w:hAnsi="宋体" w:eastAsia="仿宋_GB2312" w:cs="宋体"/>
                <w:kern w:val="0"/>
              </w:rPr>
              <w:t>全年</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eastAsia="仿宋_GB2312"/>
                <w:kern w:val="0"/>
              </w:rPr>
            </w:pPr>
            <w:r>
              <w:rPr>
                <w:rFonts w:hint="eastAsia" w:ascii="仿宋_GB2312" w:hAnsi="宋体" w:eastAsia="仿宋_GB2312" w:cs="宋体"/>
                <w:kern w:val="0"/>
              </w:rPr>
              <w:t>分值</w:t>
            </w:r>
          </w:p>
        </w:tc>
        <w:tc>
          <w:tcPr>
            <w:tcW w:w="8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98" w:type="dxa"/>
            <w:gridSpan w:val="2"/>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1891.75</w:t>
            </w:r>
          </w:p>
        </w:tc>
        <w:tc>
          <w:tcPr>
            <w:tcW w:w="146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8587.81</w:t>
            </w: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eastAsia="仿宋_GB2312"/>
                <w:kern w:val="0"/>
              </w:rPr>
            </w:pPr>
            <w:r>
              <w:rPr>
                <w:rFonts w:hint="eastAsia" w:ascii="仿宋_GB2312" w:eastAsia="仿宋_GB2312"/>
                <w:kern w:val="0"/>
                <w:lang w:val="en-US" w:eastAsia="zh-CN"/>
              </w:rPr>
              <w:t>8587.81</w:t>
            </w:r>
          </w:p>
        </w:tc>
        <w:tc>
          <w:tcPr>
            <w:tcW w:w="6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eastAsia="仿宋_GB2312"/>
                <w:kern w:val="0"/>
              </w:rPr>
            </w:pPr>
            <w:r>
              <w:rPr>
                <w:rFonts w:hint="eastAsia" w:ascii="仿宋_GB2312" w:eastAsia="仿宋_GB2312"/>
                <w:kern w:val="0"/>
              </w:rPr>
              <w:t>10</w:t>
            </w:r>
          </w:p>
        </w:tc>
        <w:tc>
          <w:tcPr>
            <w:tcW w:w="8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jc w:val="center"/>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815" w:type="dxa"/>
            <w:gridSpan w:val="4"/>
            <w:vAlign w:val="center"/>
          </w:tcPr>
          <w:p>
            <w:pPr>
              <w:spacing w:line="240" w:lineRule="auto"/>
              <w:ind w:firstLine="420"/>
              <w:jc w:val="center"/>
              <w:rPr>
                <w:rFonts w:hint="default" w:ascii="仿宋_GB2312" w:eastAsia="仿宋_GB2312"/>
                <w:kern w:val="0"/>
                <w:lang w:val="en-US" w:eastAsia="zh-CN"/>
              </w:rPr>
            </w:pPr>
            <w:r>
              <w:rPr>
                <w:rFonts w:hint="eastAsia" w:ascii="仿宋_GB2312" w:hAnsi="宋体" w:eastAsia="仿宋_GB2312" w:cs="宋体"/>
                <w:kern w:val="0"/>
              </w:rPr>
              <w:t>按收入性质分：</w:t>
            </w:r>
            <w:r>
              <w:rPr>
                <w:rFonts w:hint="eastAsia" w:ascii="仿宋_GB2312" w:hAnsi="宋体" w:eastAsia="仿宋_GB2312" w:cs="宋体"/>
                <w:kern w:val="0"/>
                <w:lang w:val="en-US" w:eastAsia="zh-CN"/>
              </w:rPr>
              <w:t>8587.81</w:t>
            </w:r>
          </w:p>
        </w:tc>
        <w:tc>
          <w:tcPr>
            <w:tcW w:w="4090" w:type="dxa"/>
            <w:gridSpan w:val="4"/>
            <w:vAlign w:val="center"/>
          </w:tcPr>
          <w:p>
            <w:pPr>
              <w:spacing w:line="240" w:lineRule="auto"/>
              <w:ind w:firstLine="420"/>
              <w:jc w:val="center"/>
              <w:rPr>
                <w:rFonts w:hint="default" w:ascii="仿宋_GB2312" w:eastAsia="仿宋_GB2312"/>
                <w:kern w:val="0"/>
                <w:lang w:val="en-US" w:eastAsia="zh-CN"/>
              </w:rPr>
            </w:pPr>
            <w:r>
              <w:rPr>
                <w:rFonts w:hint="eastAsia" w:ascii="仿宋_GB2312" w:hAnsi="宋体" w:eastAsia="仿宋_GB2312" w:cs="宋体"/>
                <w:kern w:val="0"/>
              </w:rPr>
              <w:t>按支出性质分：</w:t>
            </w:r>
            <w:r>
              <w:rPr>
                <w:rFonts w:hint="eastAsia" w:ascii="仿宋_GB2312" w:hAnsi="宋体" w:eastAsia="仿宋_GB2312" w:cs="宋体"/>
                <w:kern w:val="0"/>
                <w:lang w:val="en-US" w:eastAsia="zh-CN"/>
              </w:rPr>
              <w:t>8587.81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815" w:type="dxa"/>
            <w:gridSpan w:val="4"/>
            <w:vAlign w:val="center"/>
          </w:tcPr>
          <w:p>
            <w:pPr>
              <w:spacing w:line="240" w:lineRule="auto"/>
              <w:ind w:firstLine="420"/>
              <w:jc w:val="center"/>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6535.42</w:t>
            </w:r>
          </w:p>
        </w:tc>
        <w:tc>
          <w:tcPr>
            <w:tcW w:w="4090" w:type="dxa"/>
            <w:gridSpan w:val="4"/>
            <w:vAlign w:val="center"/>
          </w:tcPr>
          <w:p>
            <w:pPr>
              <w:spacing w:line="240" w:lineRule="auto"/>
              <w:ind w:firstLine="420"/>
              <w:jc w:val="center"/>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2929.21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815" w:type="dxa"/>
            <w:gridSpan w:val="4"/>
            <w:vAlign w:val="center"/>
          </w:tcPr>
          <w:p>
            <w:pPr>
              <w:spacing w:line="240" w:lineRule="auto"/>
              <w:ind w:firstLine="1050" w:firstLineChars="500"/>
              <w:jc w:val="center"/>
              <w:rPr>
                <w:rFonts w:ascii="仿宋_GB2312" w:eastAsia="仿宋_GB2312"/>
                <w:kern w:val="0"/>
              </w:rPr>
            </w:pPr>
            <w:r>
              <w:rPr>
                <w:rFonts w:hint="eastAsia" w:ascii="仿宋_GB2312" w:hAnsi="宋体" w:eastAsia="仿宋_GB2312" w:cs="宋体"/>
                <w:kern w:val="0"/>
              </w:rPr>
              <w:t>政府性基金拨款：</w:t>
            </w:r>
          </w:p>
        </w:tc>
        <w:tc>
          <w:tcPr>
            <w:tcW w:w="4090" w:type="dxa"/>
            <w:gridSpan w:val="4"/>
            <w:vAlign w:val="center"/>
          </w:tcPr>
          <w:p>
            <w:pPr>
              <w:spacing w:line="240" w:lineRule="auto"/>
              <w:ind w:firstLine="1050" w:firstLineChars="500"/>
              <w:jc w:val="center"/>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5658.6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815" w:type="dxa"/>
            <w:gridSpan w:val="4"/>
            <w:vAlign w:val="center"/>
          </w:tcPr>
          <w:p>
            <w:pPr>
              <w:spacing w:line="240" w:lineRule="auto"/>
              <w:ind w:firstLine="1050" w:firstLineChars="500"/>
              <w:jc w:val="center"/>
              <w:rPr>
                <w:rFonts w:hint="default" w:ascii="仿宋_GB2312" w:eastAsia="仿宋_GB2312"/>
                <w:kern w:val="0"/>
                <w:lang w:val="en-US" w:eastAsia="zh-CN"/>
              </w:rPr>
            </w:pPr>
            <w:r>
              <w:rPr>
                <w:rFonts w:hint="eastAsia" w:ascii="仿宋_GB2312" w:hAnsi="宋体" w:eastAsia="仿宋_GB2312" w:cs="宋体"/>
                <w:kern w:val="0"/>
                <w:lang w:eastAsia="zh-CN"/>
              </w:rPr>
              <w:t>纳入专户管理的非税收入拨款：</w:t>
            </w:r>
            <w:r>
              <w:rPr>
                <w:rFonts w:hint="eastAsia" w:ascii="仿宋_GB2312" w:hAnsi="宋体" w:eastAsia="仿宋_GB2312" w:cs="宋体"/>
                <w:kern w:val="0"/>
                <w:lang w:val="en-US" w:eastAsia="zh-CN"/>
              </w:rPr>
              <w:t>2052.39</w:t>
            </w:r>
          </w:p>
        </w:tc>
        <w:tc>
          <w:tcPr>
            <w:tcW w:w="4090" w:type="dxa"/>
            <w:gridSpan w:val="4"/>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815" w:type="dxa"/>
            <w:gridSpan w:val="4"/>
            <w:vAlign w:val="center"/>
          </w:tcPr>
          <w:p>
            <w:pPr>
              <w:spacing w:line="240" w:lineRule="auto"/>
              <w:ind w:firstLine="1050" w:firstLineChars="500"/>
              <w:jc w:val="center"/>
              <w:rPr>
                <w:rFonts w:ascii="仿宋_GB2312" w:eastAsia="仿宋_GB2312"/>
                <w:kern w:val="0"/>
              </w:rPr>
            </w:pPr>
            <w:r>
              <w:rPr>
                <w:rFonts w:hint="eastAsia" w:ascii="仿宋_GB2312" w:hAnsi="宋体" w:eastAsia="仿宋_GB2312" w:cs="宋体"/>
                <w:kern w:val="0"/>
              </w:rPr>
              <w:t>其他资金：</w:t>
            </w:r>
          </w:p>
        </w:tc>
        <w:tc>
          <w:tcPr>
            <w:tcW w:w="409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81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09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815" w:type="dxa"/>
            <w:gridSpan w:val="4"/>
            <w:vAlign w:val="center"/>
          </w:tcPr>
          <w:p>
            <w:pPr>
              <w:spacing w:line="240" w:lineRule="auto"/>
              <w:ind w:firstLine="420"/>
              <w:jc w:val="center"/>
              <w:rPr>
                <w:rFonts w:hint="eastAsia" w:ascii="仿宋" w:hAnsi="仿宋" w:eastAsia="仿宋" w:cs="仿宋"/>
                <w:kern w:val="0"/>
                <w:lang w:val="en-US" w:eastAsia="zh-CN"/>
              </w:rPr>
            </w:pPr>
            <w:r>
              <w:rPr>
                <w:rFonts w:hint="eastAsia" w:ascii="仿宋" w:hAnsi="仿宋" w:eastAsia="仿宋" w:cs="仿宋"/>
                <w:kern w:val="0"/>
              </w:rPr>
              <w:t>为全市适龄儿童提供全面、规范的预防接种服务</w:t>
            </w:r>
            <w:r>
              <w:rPr>
                <w:rFonts w:hint="eastAsia" w:ascii="仿宋" w:hAnsi="仿宋" w:eastAsia="仿宋" w:cs="仿宋"/>
                <w:kern w:val="0"/>
                <w:lang w:val="en-US" w:eastAsia="zh-CN"/>
              </w:rPr>
              <w:t>;卫生监测;地方病、慢性病、学校传染病防治工作;传染病防控;开展健康教育活动，提高信息化管理水平;突发公共卫生事件处理。</w:t>
            </w:r>
          </w:p>
        </w:tc>
        <w:tc>
          <w:tcPr>
            <w:tcW w:w="4090" w:type="dxa"/>
            <w:gridSpan w:val="4"/>
            <w:vAlign w:val="center"/>
          </w:tcPr>
          <w:p>
            <w:pPr>
              <w:spacing w:line="240" w:lineRule="auto"/>
              <w:ind w:firstLine="420"/>
              <w:jc w:val="center"/>
              <w:rPr>
                <w:rFonts w:hint="eastAsia" w:ascii="仿宋" w:hAnsi="仿宋" w:eastAsia="仿宋" w:cs="仿宋"/>
                <w:kern w:val="0"/>
                <w:lang w:val="en-US" w:eastAsia="zh-CN"/>
              </w:rPr>
            </w:pPr>
            <w:r>
              <w:rPr>
                <w:rFonts w:hint="eastAsia" w:ascii="仿宋" w:hAnsi="仿宋" w:eastAsia="仿宋" w:cs="仿宋"/>
                <w:kern w:val="0"/>
                <w:lang w:eastAsia="zh-CN"/>
              </w:rPr>
              <w:t>完成率</w:t>
            </w:r>
            <w:r>
              <w:rPr>
                <w:rFonts w:hint="eastAsia" w:ascii="仿宋" w:hAnsi="仿宋" w:eastAsia="仿宋" w:cs="仿宋"/>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hint="eastAsia" w:ascii="仿宋" w:hAnsi="仿宋" w:eastAsia="仿宋" w:cs="仿宋"/>
                <w:kern w:val="0"/>
              </w:rPr>
            </w:pPr>
            <w:r>
              <w:rPr>
                <w:rFonts w:hint="eastAsia" w:ascii="仿宋" w:hAnsi="仿宋" w:eastAsia="仿宋" w:cs="仿宋"/>
                <w:kern w:val="0"/>
              </w:rPr>
              <w:t>一级指标</w:t>
            </w:r>
          </w:p>
        </w:tc>
        <w:tc>
          <w:tcPr>
            <w:tcW w:w="1029" w:type="dxa"/>
            <w:vAlign w:val="center"/>
          </w:tcPr>
          <w:p>
            <w:pPr>
              <w:spacing w:line="240" w:lineRule="auto"/>
              <w:jc w:val="center"/>
              <w:rPr>
                <w:rFonts w:hint="eastAsia" w:ascii="仿宋" w:hAnsi="仿宋" w:eastAsia="仿宋" w:cs="仿宋"/>
                <w:kern w:val="0"/>
              </w:rPr>
            </w:pPr>
            <w:r>
              <w:rPr>
                <w:rFonts w:hint="eastAsia" w:ascii="仿宋" w:hAnsi="仿宋" w:eastAsia="仿宋" w:cs="仿宋"/>
                <w:kern w:val="0"/>
              </w:rPr>
              <w:t>二级指标</w:t>
            </w:r>
          </w:p>
        </w:tc>
        <w:tc>
          <w:tcPr>
            <w:tcW w:w="1249" w:type="dxa"/>
            <w:vAlign w:val="center"/>
          </w:tcPr>
          <w:p>
            <w:pPr>
              <w:spacing w:line="240" w:lineRule="auto"/>
              <w:jc w:val="center"/>
              <w:rPr>
                <w:rFonts w:hint="eastAsia" w:ascii="仿宋" w:hAnsi="仿宋" w:eastAsia="仿宋" w:cs="仿宋"/>
                <w:kern w:val="0"/>
              </w:rPr>
            </w:pPr>
            <w:r>
              <w:rPr>
                <w:rFonts w:hint="eastAsia" w:ascii="仿宋" w:hAnsi="仿宋" w:eastAsia="仿宋" w:cs="仿宋"/>
                <w:kern w:val="0"/>
              </w:rPr>
              <w:t>三级指标</w:t>
            </w:r>
          </w:p>
        </w:tc>
        <w:tc>
          <w:tcPr>
            <w:tcW w:w="1468" w:type="dxa"/>
            <w:vAlign w:val="center"/>
          </w:tcPr>
          <w:p>
            <w:pPr>
              <w:spacing w:line="240" w:lineRule="auto"/>
              <w:jc w:val="center"/>
              <w:rPr>
                <w:rFonts w:hint="eastAsia" w:ascii="仿宋" w:hAnsi="仿宋" w:eastAsia="仿宋" w:cs="仿宋"/>
                <w:kern w:val="0"/>
              </w:rPr>
            </w:pPr>
            <w:r>
              <w:rPr>
                <w:rFonts w:hint="eastAsia" w:ascii="仿宋" w:hAnsi="仿宋" w:eastAsia="仿宋" w:cs="仿宋"/>
                <w:kern w:val="0"/>
              </w:rPr>
              <w:t>年度指标值</w:t>
            </w:r>
          </w:p>
        </w:tc>
        <w:tc>
          <w:tcPr>
            <w:tcW w:w="1099" w:type="dxa"/>
            <w:vAlign w:val="center"/>
          </w:tcPr>
          <w:p>
            <w:pPr>
              <w:spacing w:line="240" w:lineRule="auto"/>
              <w:jc w:val="center"/>
              <w:rPr>
                <w:rFonts w:hint="eastAsia" w:ascii="仿宋" w:hAnsi="仿宋" w:eastAsia="仿宋" w:cs="仿宋"/>
                <w:kern w:val="0"/>
              </w:rPr>
            </w:pPr>
            <w:r>
              <w:rPr>
                <w:rFonts w:hint="eastAsia" w:ascii="仿宋" w:hAnsi="仿宋" w:eastAsia="仿宋" w:cs="仿宋"/>
                <w:kern w:val="0"/>
              </w:rPr>
              <w:t>实际完成值</w:t>
            </w:r>
          </w:p>
        </w:tc>
        <w:tc>
          <w:tcPr>
            <w:tcW w:w="699" w:type="dxa"/>
            <w:vAlign w:val="center"/>
          </w:tcPr>
          <w:p>
            <w:pPr>
              <w:spacing w:line="240" w:lineRule="auto"/>
              <w:jc w:val="center"/>
              <w:rPr>
                <w:rFonts w:hint="eastAsia" w:ascii="仿宋" w:hAnsi="仿宋" w:eastAsia="仿宋" w:cs="仿宋"/>
                <w:kern w:val="0"/>
              </w:rPr>
            </w:pPr>
            <w:r>
              <w:rPr>
                <w:rFonts w:hint="eastAsia" w:ascii="仿宋" w:hAnsi="仿宋" w:eastAsia="仿宋" w:cs="仿宋"/>
                <w:kern w:val="0"/>
              </w:rPr>
              <w:t>分值</w:t>
            </w:r>
          </w:p>
        </w:tc>
        <w:tc>
          <w:tcPr>
            <w:tcW w:w="869" w:type="dxa"/>
            <w:vAlign w:val="center"/>
          </w:tcPr>
          <w:p>
            <w:pPr>
              <w:spacing w:line="240" w:lineRule="auto"/>
              <w:jc w:val="center"/>
              <w:rPr>
                <w:rFonts w:hint="eastAsia" w:ascii="仿宋" w:hAnsi="仿宋" w:eastAsia="仿宋" w:cs="仿宋"/>
                <w:kern w:val="0"/>
              </w:rPr>
            </w:pPr>
            <w:r>
              <w:rPr>
                <w:rFonts w:hint="eastAsia" w:ascii="仿宋" w:hAnsi="仿宋" w:eastAsia="仿宋" w:cs="仿宋"/>
                <w:kern w:val="0"/>
              </w:rPr>
              <w:t>得分</w:t>
            </w:r>
          </w:p>
        </w:tc>
        <w:tc>
          <w:tcPr>
            <w:tcW w:w="1423" w:type="dxa"/>
            <w:vAlign w:val="center"/>
          </w:tcPr>
          <w:p>
            <w:pPr>
              <w:spacing w:line="240" w:lineRule="auto"/>
              <w:jc w:val="center"/>
              <w:rPr>
                <w:rFonts w:hint="eastAsia" w:ascii="仿宋" w:hAnsi="仿宋" w:eastAsia="仿宋" w:cs="仿宋"/>
                <w:kern w:val="0"/>
                <w:lang w:eastAsia="zh-CN"/>
              </w:rPr>
            </w:pPr>
            <w:r>
              <w:rPr>
                <w:rFonts w:hint="eastAsia" w:ascii="仿宋" w:hAnsi="仿宋" w:eastAsia="仿宋" w:cs="仿宋"/>
                <w:kern w:val="0"/>
                <w:lang w:eastAsia="zh-CN"/>
              </w:rPr>
              <w:t>偏差原因</w:t>
            </w:r>
          </w:p>
          <w:p>
            <w:pPr>
              <w:spacing w:line="240" w:lineRule="auto"/>
              <w:jc w:val="center"/>
              <w:rPr>
                <w:rFonts w:hint="eastAsia" w:ascii="仿宋" w:hAnsi="仿宋" w:eastAsia="仿宋" w:cs="仿宋"/>
                <w:kern w:val="0"/>
                <w:lang w:eastAsia="zh-CN"/>
              </w:rPr>
            </w:pPr>
            <w:r>
              <w:rPr>
                <w:rFonts w:hint="eastAsia" w:ascii="仿宋" w:hAnsi="仿宋" w:eastAsia="仿宋" w:cs="仿宋"/>
                <w:kern w:val="0"/>
                <w:lang w:eastAsia="zh-CN"/>
              </w:rPr>
              <w:t>分析及</w:t>
            </w:r>
          </w:p>
          <w:p>
            <w:pPr>
              <w:spacing w:line="240" w:lineRule="auto"/>
              <w:jc w:val="center"/>
              <w:rPr>
                <w:rFonts w:hint="eastAsia" w:ascii="仿宋" w:hAnsi="仿宋" w:eastAsia="仿宋" w:cs="仿宋"/>
                <w:kern w:val="0"/>
                <w:lang w:eastAsia="zh-CN"/>
              </w:rPr>
            </w:pPr>
            <w:r>
              <w:rPr>
                <w:rFonts w:hint="eastAsia" w:ascii="仿宋" w:hAnsi="仿宋" w:eastAsia="仿宋" w:cs="仿宋"/>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pPr>
              <w:spacing w:line="240" w:lineRule="auto"/>
              <w:jc w:val="center"/>
              <w:rPr>
                <w:rFonts w:hint="eastAsia" w:ascii="仿宋" w:hAnsi="仿宋" w:eastAsia="仿宋" w:cs="仿宋"/>
                <w:kern w:val="0"/>
              </w:rPr>
            </w:pPr>
            <w:r>
              <w:rPr>
                <w:rFonts w:hint="eastAsia" w:ascii="仿宋" w:hAnsi="仿宋" w:eastAsia="仿宋" w:cs="仿宋"/>
                <w:kern w:val="0"/>
              </w:rPr>
              <w:t>产出指标</w:t>
            </w:r>
          </w:p>
          <w:p>
            <w:pPr>
              <w:spacing w:line="240" w:lineRule="auto"/>
              <w:jc w:val="center"/>
              <w:rPr>
                <w:rFonts w:hint="eastAsia" w:ascii="仿宋" w:hAnsi="仿宋" w:eastAsia="仿宋" w:cs="仿宋"/>
                <w:kern w:val="0"/>
              </w:rPr>
            </w:pPr>
            <w:r>
              <w:rPr>
                <w:rFonts w:hint="eastAsia" w:ascii="仿宋" w:hAnsi="仿宋" w:eastAsia="仿宋" w:cs="仿宋"/>
                <w:kern w:val="0"/>
              </w:rPr>
              <w:t>(</w:t>
            </w:r>
            <w:r>
              <w:rPr>
                <w:rFonts w:hint="eastAsia" w:ascii="仿宋" w:hAnsi="仿宋" w:eastAsia="仿宋" w:cs="仿宋"/>
                <w:kern w:val="0"/>
                <w:lang w:val="en-US" w:eastAsia="zh-CN"/>
              </w:rPr>
              <w:t>3</w:t>
            </w:r>
            <w:r>
              <w:rPr>
                <w:rFonts w:hint="eastAsia" w:ascii="仿宋" w:hAnsi="仿宋" w:eastAsia="仿宋" w:cs="仿宋"/>
                <w:kern w:val="0"/>
              </w:rPr>
              <w:t>0分)</w:t>
            </w:r>
          </w:p>
        </w:tc>
        <w:tc>
          <w:tcPr>
            <w:tcW w:w="1029" w:type="dxa"/>
            <w:tcBorders>
              <w:bottom w:val="nil"/>
            </w:tcBorders>
            <w:vAlign w:val="center"/>
          </w:tcPr>
          <w:p>
            <w:pPr>
              <w:spacing w:line="240" w:lineRule="auto"/>
              <w:jc w:val="center"/>
              <w:rPr>
                <w:rFonts w:hint="eastAsia" w:ascii="仿宋" w:hAnsi="仿宋" w:eastAsia="仿宋" w:cs="仿宋"/>
                <w:kern w:val="0"/>
              </w:rPr>
            </w:pPr>
            <w:r>
              <w:rPr>
                <w:rFonts w:hint="eastAsia" w:ascii="仿宋" w:hAnsi="仿宋" w:eastAsia="仿宋" w:cs="仿宋"/>
                <w:kern w:val="0"/>
              </w:rPr>
              <w:t>数量指标</w:t>
            </w:r>
          </w:p>
        </w:tc>
        <w:tc>
          <w:tcPr>
            <w:tcW w:w="1249" w:type="dxa"/>
            <w:vAlign w:val="center"/>
          </w:tcPr>
          <w:p>
            <w:pPr>
              <w:pStyle w:val="8"/>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基本公共卫生服务</w:t>
            </w:r>
          </w:p>
        </w:tc>
        <w:tc>
          <w:tcPr>
            <w:tcW w:w="1468" w:type="dxa"/>
            <w:vAlign w:val="center"/>
          </w:tcPr>
          <w:p>
            <w:pPr>
              <w:pStyle w:val="8"/>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全覆盖</w:t>
            </w:r>
          </w:p>
        </w:tc>
        <w:tc>
          <w:tcPr>
            <w:tcW w:w="1099" w:type="dxa"/>
            <w:vAlign w:val="center"/>
          </w:tcPr>
          <w:p>
            <w:pPr>
              <w:pStyle w:val="8"/>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rPr>
              <w:t>全覆盖</w:t>
            </w:r>
          </w:p>
        </w:tc>
        <w:tc>
          <w:tcPr>
            <w:tcW w:w="6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kern w:val="0"/>
                <w:lang w:val="en-US" w:eastAsia="zh-CN"/>
              </w:rPr>
            </w:pPr>
            <w:r>
              <w:rPr>
                <w:rFonts w:hint="eastAsia" w:ascii="仿宋" w:hAnsi="仿宋" w:eastAsia="仿宋" w:cs="仿宋"/>
                <w:kern w:val="0"/>
                <w:lang w:val="en-US" w:eastAsia="zh-CN"/>
              </w:rPr>
              <w:t>10</w:t>
            </w:r>
          </w:p>
        </w:tc>
        <w:tc>
          <w:tcPr>
            <w:tcW w:w="8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kern w:val="0"/>
                <w:lang w:val="en-US" w:eastAsia="zh-CN"/>
              </w:rPr>
            </w:pPr>
            <w:r>
              <w:rPr>
                <w:rFonts w:hint="eastAsia" w:ascii="仿宋" w:hAnsi="仿宋" w:eastAsia="仿宋" w:cs="仿宋"/>
                <w:kern w:val="0"/>
                <w:lang w:val="en-US" w:eastAsia="zh-CN"/>
              </w:rPr>
              <w:t>10</w:t>
            </w:r>
          </w:p>
        </w:tc>
        <w:tc>
          <w:tcPr>
            <w:tcW w:w="14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kern w:val="0"/>
              </w:rPr>
            </w:pPr>
            <w:r>
              <w:rPr>
                <w:rFonts w:hint="eastAsia" w:ascii="仿宋" w:hAnsi="仿宋" w:eastAsia="仿宋" w:cs="仿宋"/>
                <w:lang w:eastAsia="zh-CN"/>
              </w:rPr>
              <w:t>无偏差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jc w:val="center"/>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hint="eastAsia" w:ascii="仿宋" w:hAnsi="仿宋" w:eastAsia="仿宋" w:cs="仿宋"/>
                <w:kern w:val="0"/>
              </w:rPr>
            </w:pPr>
          </w:p>
        </w:tc>
        <w:tc>
          <w:tcPr>
            <w:tcW w:w="1029" w:type="dxa"/>
            <w:tcBorders>
              <w:bottom w:val="nil"/>
            </w:tcBorders>
            <w:vAlign w:val="center"/>
          </w:tcPr>
          <w:p>
            <w:pPr>
              <w:spacing w:line="240" w:lineRule="auto"/>
              <w:jc w:val="center"/>
              <w:rPr>
                <w:rFonts w:hint="eastAsia" w:ascii="仿宋" w:hAnsi="仿宋" w:eastAsia="仿宋" w:cs="仿宋"/>
                <w:kern w:val="0"/>
              </w:rPr>
            </w:pPr>
            <w:r>
              <w:rPr>
                <w:rFonts w:hint="eastAsia" w:ascii="仿宋" w:hAnsi="仿宋" w:eastAsia="仿宋" w:cs="仿宋"/>
                <w:kern w:val="0"/>
              </w:rPr>
              <w:t>质量指标</w:t>
            </w:r>
          </w:p>
        </w:tc>
        <w:tc>
          <w:tcPr>
            <w:tcW w:w="1249" w:type="dxa"/>
            <w:vAlign w:val="center"/>
          </w:tcPr>
          <w:p>
            <w:pPr>
              <w:pStyle w:val="8"/>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符合国家疾控工作考评要求</w:t>
            </w:r>
          </w:p>
        </w:tc>
        <w:tc>
          <w:tcPr>
            <w:tcW w:w="1468" w:type="dxa"/>
            <w:vAlign w:val="center"/>
          </w:tcPr>
          <w:p>
            <w:pPr>
              <w:pStyle w:val="8"/>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无重大医疗事故</w:t>
            </w:r>
          </w:p>
        </w:tc>
        <w:tc>
          <w:tcPr>
            <w:tcW w:w="1099" w:type="dxa"/>
            <w:vAlign w:val="center"/>
          </w:tcPr>
          <w:p>
            <w:pPr>
              <w:pStyle w:val="8"/>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无重大医疗事故</w:t>
            </w:r>
          </w:p>
        </w:tc>
        <w:tc>
          <w:tcPr>
            <w:tcW w:w="6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kern w:val="0"/>
                <w:lang w:val="en-US" w:eastAsia="zh-CN"/>
              </w:rPr>
            </w:pPr>
            <w:r>
              <w:rPr>
                <w:rFonts w:hint="eastAsia" w:ascii="仿宋" w:hAnsi="仿宋" w:eastAsia="仿宋" w:cs="仿宋"/>
                <w:kern w:val="0"/>
                <w:lang w:val="en-US" w:eastAsia="zh-CN"/>
              </w:rPr>
              <w:t>10</w:t>
            </w:r>
          </w:p>
        </w:tc>
        <w:tc>
          <w:tcPr>
            <w:tcW w:w="8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kern w:val="0"/>
                <w:lang w:val="en-US" w:eastAsia="zh-CN"/>
              </w:rPr>
            </w:pPr>
            <w:r>
              <w:rPr>
                <w:rFonts w:hint="eastAsia" w:ascii="仿宋" w:hAnsi="仿宋" w:eastAsia="仿宋" w:cs="仿宋"/>
                <w:kern w:val="0"/>
                <w:lang w:val="en-US" w:eastAsia="zh-CN"/>
              </w:rPr>
              <w:t>10</w:t>
            </w:r>
          </w:p>
        </w:tc>
        <w:tc>
          <w:tcPr>
            <w:tcW w:w="1423" w:type="dxa"/>
            <w:vAlign w:val="center"/>
          </w:tcPr>
          <w:p>
            <w:pPr>
              <w:pStyle w:val="8"/>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lang w:eastAsia="zh-CN"/>
              </w:rPr>
              <w:t>无偏差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hint="eastAsia" w:ascii="仿宋" w:hAnsi="仿宋" w:eastAsia="仿宋" w:cs="仿宋"/>
                <w:kern w:val="0"/>
              </w:rPr>
            </w:pPr>
          </w:p>
        </w:tc>
        <w:tc>
          <w:tcPr>
            <w:tcW w:w="1029" w:type="dxa"/>
            <w:tcBorders>
              <w:bottom w:val="nil"/>
            </w:tcBorders>
            <w:vAlign w:val="center"/>
          </w:tcPr>
          <w:p>
            <w:pPr>
              <w:spacing w:line="240" w:lineRule="auto"/>
              <w:jc w:val="center"/>
              <w:rPr>
                <w:rFonts w:hint="eastAsia" w:ascii="仿宋" w:hAnsi="仿宋" w:eastAsia="仿宋" w:cs="仿宋"/>
                <w:kern w:val="0"/>
              </w:rPr>
            </w:pPr>
            <w:r>
              <w:rPr>
                <w:rFonts w:hint="eastAsia" w:ascii="仿宋" w:hAnsi="仿宋" w:eastAsia="仿宋" w:cs="仿宋"/>
                <w:kern w:val="0"/>
              </w:rPr>
              <w:t>时效指标</w:t>
            </w:r>
          </w:p>
        </w:tc>
        <w:tc>
          <w:tcPr>
            <w:tcW w:w="1249" w:type="dxa"/>
            <w:vAlign w:val="center"/>
          </w:tcPr>
          <w:p>
            <w:pPr>
              <w:pStyle w:val="8"/>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完成时间</w:t>
            </w:r>
          </w:p>
        </w:tc>
        <w:tc>
          <w:tcPr>
            <w:tcW w:w="1468" w:type="dxa"/>
            <w:vAlign w:val="center"/>
          </w:tcPr>
          <w:p>
            <w:pPr>
              <w:pStyle w:val="8"/>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2022年全年</w:t>
            </w:r>
          </w:p>
        </w:tc>
        <w:tc>
          <w:tcPr>
            <w:tcW w:w="1099" w:type="dxa"/>
            <w:vAlign w:val="center"/>
          </w:tcPr>
          <w:p>
            <w:pPr>
              <w:pStyle w:val="8"/>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lang w:val="en-US" w:eastAsia="zh-CN"/>
              </w:rPr>
              <w:t>按时完成</w:t>
            </w:r>
          </w:p>
        </w:tc>
        <w:tc>
          <w:tcPr>
            <w:tcW w:w="6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kern w:val="0"/>
                <w:lang w:val="en-US" w:eastAsia="zh-CN"/>
              </w:rPr>
            </w:pPr>
            <w:r>
              <w:rPr>
                <w:rFonts w:hint="eastAsia" w:ascii="仿宋" w:hAnsi="仿宋" w:eastAsia="仿宋" w:cs="仿宋"/>
                <w:kern w:val="0"/>
                <w:lang w:val="en-US" w:eastAsia="zh-CN"/>
              </w:rPr>
              <w:t>10</w:t>
            </w:r>
          </w:p>
        </w:tc>
        <w:tc>
          <w:tcPr>
            <w:tcW w:w="8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kern w:val="0"/>
                <w:lang w:val="en-US" w:eastAsia="zh-CN"/>
              </w:rPr>
            </w:pPr>
            <w:r>
              <w:rPr>
                <w:rFonts w:hint="eastAsia" w:ascii="仿宋" w:hAnsi="仿宋" w:eastAsia="仿宋" w:cs="仿宋"/>
                <w:kern w:val="0"/>
                <w:lang w:val="en-US" w:eastAsia="zh-CN"/>
              </w:rPr>
              <w:t>10</w:t>
            </w:r>
          </w:p>
        </w:tc>
        <w:tc>
          <w:tcPr>
            <w:tcW w:w="1423" w:type="dxa"/>
            <w:vAlign w:val="center"/>
          </w:tcPr>
          <w:p>
            <w:pPr>
              <w:pStyle w:val="8"/>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lang w:eastAsia="zh-CN"/>
              </w:rPr>
              <w:t>无偏差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hint="eastAsia" w:ascii="仿宋" w:hAnsi="仿宋" w:eastAsia="仿宋" w:cs="仿宋"/>
                <w:kern w:val="0"/>
              </w:rPr>
            </w:pPr>
            <w:r>
              <w:rPr>
                <w:rFonts w:hint="eastAsia" w:ascii="仿宋" w:hAnsi="仿宋" w:eastAsia="仿宋" w:cs="仿宋"/>
                <w:kern w:val="0"/>
              </w:rPr>
              <w:t>效益指标(30分)</w:t>
            </w:r>
          </w:p>
        </w:tc>
        <w:tc>
          <w:tcPr>
            <w:tcW w:w="1029" w:type="dxa"/>
            <w:tcBorders>
              <w:bottom w:val="nil"/>
            </w:tcBorders>
            <w:vAlign w:val="center"/>
          </w:tcPr>
          <w:p>
            <w:pPr>
              <w:spacing w:line="240" w:lineRule="auto"/>
              <w:jc w:val="center"/>
              <w:rPr>
                <w:rFonts w:hint="eastAsia" w:ascii="仿宋" w:hAnsi="仿宋" w:eastAsia="仿宋" w:cs="仿宋"/>
                <w:kern w:val="0"/>
              </w:rPr>
            </w:pPr>
            <w:r>
              <w:rPr>
                <w:rFonts w:hint="eastAsia" w:ascii="仿宋" w:hAnsi="仿宋" w:eastAsia="仿宋" w:cs="仿宋"/>
                <w:kern w:val="0"/>
              </w:rPr>
              <w:t>经济效益指标</w:t>
            </w:r>
          </w:p>
        </w:tc>
        <w:tc>
          <w:tcPr>
            <w:tcW w:w="1249" w:type="dxa"/>
            <w:vAlign w:val="center"/>
          </w:tcPr>
          <w:p>
            <w:pPr>
              <w:pStyle w:val="8"/>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减轻群众负担</w:t>
            </w:r>
          </w:p>
        </w:tc>
        <w:tc>
          <w:tcPr>
            <w:tcW w:w="1468" w:type="dxa"/>
            <w:vAlign w:val="center"/>
          </w:tcPr>
          <w:p>
            <w:pPr>
              <w:pStyle w:val="8"/>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逐步减轻</w:t>
            </w:r>
          </w:p>
        </w:tc>
        <w:tc>
          <w:tcPr>
            <w:tcW w:w="1099" w:type="dxa"/>
            <w:vAlign w:val="center"/>
          </w:tcPr>
          <w:p>
            <w:pPr>
              <w:pStyle w:val="8"/>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lang w:eastAsia="zh-CN"/>
              </w:rPr>
              <w:t>逐步减轻</w:t>
            </w:r>
          </w:p>
        </w:tc>
        <w:tc>
          <w:tcPr>
            <w:tcW w:w="699" w:type="dxa"/>
            <w:vAlign w:val="center"/>
          </w:tcPr>
          <w:p>
            <w:pPr>
              <w:pStyle w:val="8"/>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10</w:t>
            </w:r>
          </w:p>
        </w:tc>
        <w:tc>
          <w:tcPr>
            <w:tcW w:w="869" w:type="dxa"/>
            <w:vAlign w:val="center"/>
          </w:tcPr>
          <w:p>
            <w:pPr>
              <w:pStyle w:val="8"/>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10</w:t>
            </w:r>
          </w:p>
        </w:tc>
        <w:tc>
          <w:tcPr>
            <w:tcW w:w="1423" w:type="dxa"/>
            <w:vAlign w:val="center"/>
          </w:tcPr>
          <w:p>
            <w:pPr>
              <w:pStyle w:val="8"/>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lang w:eastAsia="zh-CN"/>
              </w:rPr>
              <w:t>无偏差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hint="eastAsia" w:ascii="仿宋" w:hAnsi="仿宋" w:eastAsia="仿宋" w:cs="仿宋"/>
                <w:kern w:val="0"/>
              </w:rPr>
            </w:pPr>
          </w:p>
        </w:tc>
        <w:tc>
          <w:tcPr>
            <w:tcW w:w="1029" w:type="dxa"/>
            <w:tcBorders>
              <w:bottom w:val="nil"/>
            </w:tcBorders>
            <w:vAlign w:val="center"/>
          </w:tcPr>
          <w:p>
            <w:pPr>
              <w:spacing w:line="240" w:lineRule="auto"/>
              <w:jc w:val="center"/>
              <w:rPr>
                <w:rFonts w:hint="eastAsia" w:ascii="仿宋" w:hAnsi="仿宋" w:eastAsia="仿宋" w:cs="仿宋"/>
                <w:kern w:val="0"/>
              </w:rPr>
            </w:pPr>
            <w:r>
              <w:rPr>
                <w:rFonts w:hint="eastAsia" w:ascii="仿宋" w:hAnsi="仿宋" w:eastAsia="仿宋" w:cs="仿宋"/>
                <w:kern w:val="0"/>
              </w:rPr>
              <w:t>社会效益指标</w:t>
            </w:r>
          </w:p>
        </w:tc>
        <w:tc>
          <w:tcPr>
            <w:tcW w:w="1249" w:type="dxa"/>
            <w:vAlign w:val="center"/>
          </w:tcPr>
          <w:p>
            <w:pPr>
              <w:pStyle w:val="8"/>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人民健康得到保障</w:t>
            </w:r>
          </w:p>
        </w:tc>
        <w:tc>
          <w:tcPr>
            <w:tcW w:w="1468" w:type="dxa"/>
            <w:vAlign w:val="center"/>
          </w:tcPr>
          <w:p>
            <w:pPr>
              <w:pStyle w:val="8"/>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无传染病暴发</w:t>
            </w:r>
          </w:p>
        </w:tc>
        <w:tc>
          <w:tcPr>
            <w:tcW w:w="1099" w:type="dxa"/>
            <w:vAlign w:val="center"/>
          </w:tcPr>
          <w:p>
            <w:pPr>
              <w:pStyle w:val="8"/>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lang w:val="en-US" w:eastAsia="zh-CN"/>
              </w:rPr>
              <w:t>无传染病暴发</w:t>
            </w:r>
          </w:p>
        </w:tc>
        <w:tc>
          <w:tcPr>
            <w:tcW w:w="699" w:type="dxa"/>
            <w:vAlign w:val="center"/>
          </w:tcPr>
          <w:p>
            <w:pPr>
              <w:pStyle w:val="8"/>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10</w:t>
            </w:r>
          </w:p>
        </w:tc>
        <w:tc>
          <w:tcPr>
            <w:tcW w:w="869" w:type="dxa"/>
            <w:vAlign w:val="center"/>
          </w:tcPr>
          <w:p>
            <w:pPr>
              <w:pStyle w:val="8"/>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10</w:t>
            </w:r>
          </w:p>
        </w:tc>
        <w:tc>
          <w:tcPr>
            <w:tcW w:w="1423" w:type="dxa"/>
            <w:vAlign w:val="center"/>
          </w:tcPr>
          <w:p>
            <w:pPr>
              <w:pStyle w:val="8"/>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lang w:eastAsia="zh-CN"/>
              </w:rPr>
              <w:t>无偏差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hint="eastAsia" w:ascii="仿宋" w:hAnsi="仿宋" w:eastAsia="仿宋" w:cs="仿宋"/>
                <w:kern w:val="0"/>
              </w:rPr>
            </w:pPr>
          </w:p>
        </w:tc>
        <w:tc>
          <w:tcPr>
            <w:tcW w:w="1029" w:type="dxa"/>
            <w:tcBorders>
              <w:bottom w:val="nil"/>
            </w:tcBorders>
            <w:vAlign w:val="center"/>
          </w:tcPr>
          <w:p>
            <w:pPr>
              <w:spacing w:line="240" w:lineRule="auto"/>
              <w:jc w:val="center"/>
              <w:rPr>
                <w:rFonts w:hint="eastAsia" w:ascii="仿宋" w:hAnsi="仿宋" w:eastAsia="仿宋" w:cs="仿宋"/>
                <w:kern w:val="0"/>
              </w:rPr>
            </w:pPr>
            <w:r>
              <w:rPr>
                <w:rFonts w:hint="eastAsia" w:ascii="仿宋" w:hAnsi="仿宋" w:eastAsia="仿宋" w:cs="仿宋"/>
                <w:kern w:val="0"/>
              </w:rPr>
              <w:t>生态效益指标</w:t>
            </w:r>
          </w:p>
        </w:tc>
        <w:tc>
          <w:tcPr>
            <w:tcW w:w="1249" w:type="dxa"/>
            <w:vAlign w:val="center"/>
          </w:tcPr>
          <w:p>
            <w:pPr>
              <w:pStyle w:val="8"/>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生态环境改变状况</w:t>
            </w:r>
          </w:p>
        </w:tc>
        <w:tc>
          <w:tcPr>
            <w:tcW w:w="1468" w:type="dxa"/>
            <w:vAlign w:val="center"/>
          </w:tcPr>
          <w:p>
            <w:pPr>
              <w:pStyle w:val="8"/>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有所改善</w:t>
            </w:r>
          </w:p>
        </w:tc>
        <w:tc>
          <w:tcPr>
            <w:tcW w:w="1099" w:type="dxa"/>
            <w:vAlign w:val="center"/>
          </w:tcPr>
          <w:p>
            <w:pPr>
              <w:pStyle w:val="8"/>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lang w:eastAsia="zh-CN"/>
              </w:rPr>
              <w:t>有所改善</w:t>
            </w:r>
          </w:p>
        </w:tc>
        <w:tc>
          <w:tcPr>
            <w:tcW w:w="699" w:type="dxa"/>
            <w:vAlign w:val="center"/>
          </w:tcPr>
          <w:p>
            <w:pPr>
              <w:pStyle w:val="8"/>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5</w:t>
            </w:r>
          </w:p>
        </w:tc>
        <w:tc>
          <w:tcPr>
            <w:tcW w:w="869" w:type="dxa"/>
            <w:vAlign w:val="center"/>
          </w:tcPr>
          <w:p>
            <w:pPr>
              <w:pStyle w:val="8"/>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5</w:t>
            </w:r>
          </w:p>
        </w:tc>
        <w:tc>
          <w:tcPr>
            <w:tcW w:w="1423" w:type="dxa"/>
            <w:vAlign w:val="center"/>
          </w:tcPr>
          <w:p>
            <w:pPr>
              <w:pStyle w:val="8"/>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lang w:eastAsia="zh-CN"/>
              </w:rPr>
              <w:t>无偏差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jc w:val="center"/>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single" w:color="auto" w:sz="4" w:space="0"/>
            </w:tcBorders>
            <w:vAlign w:val="center"/>
          </w:tcPr>
          <w:p>
            <w:pPr>
              <w:spacing w:line="240" w:lineRule="auto"/>
              <w:ind w:firstLine="420"/>
              <w:jc w:val="center"/>
              <w:rPr>
                <w:rFonts w:hint="eastAsia" w:ascii="仿宋" w:hAnsi="仿宋" w:eastAsia="仿宋" w:cs="仿宋"/>
                <w:kern w:val="0"/>
              </w:rPr>
            </w:pPr>
          </w:p>
        </w:tc>
        <w:tc>
          <w:tcPr>
            <w:tcW w:w="1029" w:type="dxa"/>
            <w:tcBorders>
              <w:bottom w:val="single" w:color="auto" w:sz="4" w:space="0"/>
            </w:tcBorders>
            <w:vAlign w:val="center"/>
          </w:tcPr>
          <w:p>
            <w:pPr>
              <w:spacing w:line="240" w:lineRule="auto"/>
              <w:jc w:val="center"/>
              <w:rPr>
                <w:rFonts w:hint="eastAsia" w:ascii="仿宋" w:hAnsi="仿宋" w:eastAsia="仿宋" w:cs="仿宋"/>
                <w:kern w:val="0"/>
              </w:rPr>
            </w:pPr>
            <w:r>
              <w:rPr>
                <w:rFonts w:hint="eastAsia" w:ascii="仿宋" w:hAnsi="仿宋" w:eastAsia="仿宋" w:cs="仿宋"/>
                <w:kern w:val="0"/>
              </w:rPr>
              <w:t>可持续影响指标</w:t>
            </w:r>
          </w:p>
        </w:tc>
        <w:tc>
          <w:tcPr>
            <w:tcW w:w="1249" w:type="dxa"/>
            <w:vAlign w:val="center"/>
          </w:tcPr>
          <w:p>
            <w:pPr>
              <w:pStyle w:val="8"/>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促进生态可持续发展；促进经济可持续发展</w:t>
            </w:r>
          </w:p>
        </w:tc>
        <w:tc>
          <w:tcPr>
            <w:tcW w:w="1468" w:type="dxa"/>
            <w:vAlign w:val="center"/>
          </w:tcPr>
          <w:p>
            <w:pPr>
              <w:pStyle w:val="8"/>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持续</w:t>
            </w:r>
          </w:p>
        </w:tc>
        <w:tc>
          <w:tcPr>
            <w:tcW w:w="1099" w:type="dxa"/>
            <w:vAlign w:val="center"/>
          </w:tcPr>
          <w:p>
            <w:pPr>
              <w:pStyle w:val="8"/>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持续</w:t>
            </w:r>
          </w:p>
        </w:tc>
        <w:tc>
          <w:tcPr>
            <w:tcW w:w="699" w:type="dxa"/>
            <w:vAlign w:val="center"/>
          </w:tcPr>
          <w:p>
            <w:pPr>
              <w:pStyle w:val="8"/>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5</w:t>
            </w:r>
          </w:p>
        </w:tc>
        <w:tc>
          <w:tcPr>
            <w:tcW w:w="869" w:type="dxa"/>
            <w:vAlign w:val="center"/>
          </w:tcPr>
          <w:p>
            <w:pPr>
              <w:pStyle w:val="8"/>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5</w:t>
            </w:r>
          </w:p>
        </w:tc>
        <w:tc>
          <w:tcPr>
            <w:tcW w:w="1423" w:type="dxa"/>
            <w:vAlign w:val="center"/>
          </w:tcPr>
          <w:p>
            <w:pPr>
              <w:pStyle w:val="8"/>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lang w:eastAsia="zh-CN"/>
              </w:rPr>
              <w:t>无偏差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jc w:val="center"/>
        </w:trPr>
        <w:tc>
          <w:tcPr>
            <w:tcW w:w="1074" w:type="dxa"/>
            <w:vMerge w:val="continue"/>
            <w:tcBorders>
              <w:right w:val="single" w:color="auto" w:sz="4" w:space="0"/>
            </w:tcBorders>
            <w:textDirection w:val="tbRlV"/>
            <w:vAlign w:val="center"/>
          </w:tcPr>
          <w:p>
            <w:pPr>
              <w:spacing w:line="240" w:lineRule="auto"/>
              <w:ind w:firstLine="420"/>
              <w:jc w:val="center"/>
              <w:rPr>
                <w:rFonts w:ascii="仿宋_GB2312" w:eastAsia="仿宋_GB2312"/>
                <w:kern w:val="0"/>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kern w:val="0"/>
              </w:rPr>
            </w:pPr>
            <w:r>
              <w:rPr>
                <w:rFonts w:hint="eastAsia" w:ascii="仿宋" w:hAnsi="仿宋" w:eastAsia="仿宋" w:cs="仿宋"/>
                <w:kern w:val="0"/>
              </w:rPr>
              <w:t>满意度指标</w:t>
            </w:r>
          </w:p>
          <w:p>
            <w:pPr>
              <w:spacing w:line="240" w:lineRule="auto"/>
              <w:jc w:val="center"/>
              <w:rPr>
                <w:rFonts w:hint="eastAsia" w:ascii="仿宋" w:hAnsi="仿宋" w:eastAsia="仿宋" w:cs="仿宋"/>
                <w:kern w:val="0"/>
              </w:rPr>
            </w:pPr>
            <w:r>
              <w:rPr>
                <w:rFonts w:hint="eastAsia" w:ascii="仿宋" w:hAnsi="仿宋" w:eastAsia="仿宋" w:cs="仿宋"/>
                <w:kern w:val="0"/>
              </w:rPr>
              <w:t>(10分)</w:t>
            </w:r>
          </w:p>
        </w:tc>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kern w:val="0"/>
              </w:rPr>
            </w:pPr>
            <w:r>
              <w:rPr>
                <w:rFonts w:hint="eastAsia" w:ascii="仿宋" w:hAnsi="仿宋" w:eastAsia="仿宋" w:cs="仿宋"/>
                <w:kern w:val="0"/>
              </w:rPr>
              <w:t>服务对象满意度指标</w:t>
            </w:r>
          </w:p>
        </w:tc>
        <w:tc>
          <w:tcPr>
            <w:tcW w:w="1249" w:type="dxa"/>
            <w:tcBorders>
              <w:left w:val="single" w:color="auto" w:sz="4" w:space="0"/>
            </w:tcBorders>
            <w:vAlign w:val="center"/>
          </w:tcPr>
          <w:p>
            <w:pPr>
              <w:pStyle w:val="8"/>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社会公众满意度</w:t>
            </w:r>
          </w:p>
        </w:tc>
        <w:tc>
          <w:tcPr>
            <w:tcW w:w="1468" w:type="dxa"/>
            <w:vAlign w:val="center"/>
          </w:tcPr>
          <w:p>
            <w:pPr>
              <w:pStyle w:val="8"/>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rPr>
              <w:t>≥</w:t>
            </w:r>
            <w:r>
              <w:rPr>
                <w:rFonts w:hint="eastAsia" w:ascii="仿宋" w:hAnsi="仿宋" w:eastAsia="仿宋" w:cs="仿宋"/>
                <w:lang w:val="en-US" w:eastAsia="zh-CN"/>
              </w:rPr>
              <w:t>95%</w:t>
            </w:r>
          </w:p>
        </w:tc>
        <w:tc>
          <w:tcPr>
            <w:tcW w:w="1099" w:type="dxa"/>
            <w:vAlign w:val="center"/>
          </w:tcPr>
          <w:p>
            <w:pPr>
              <w:pStyle w:val="8"/>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99.5%</w:t>
            </w:r>
          </w:p>
        </w:tc>
        <w:tc>
          <w:tcPr>
            <w:tcW w:w="6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kern w:val="0"/>
                <w:lang w:val="en-US" w:eastAsia="zh-CN"/>
              </w:rPr>
            </w:pPr>
            <w:r>
              <w:rPr>
                <w:rFonts w:hint="eastAsia" w:ascii="仿宋" w:hAnsi="仿宋" w:eastAsia="仿宋" w:cs="仿宋"/>
                <w:kern w:val="0"/>
                <w:lang w:val="en-US" w:eastAsia="zh-CN"/>
              </w:rPr>
              <w:t>10</w:t>
            </w:r>
          </w:p>
        </w:tc>
        <w:tc>
          <w:tcPr>
            <w:tcW w:w="8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kern w:val="0"/>
                <w:lang w:val="en-US" w:eastAsia="zh-CN"/>
              </w:rPr>
            </w:pPr>
            <w:r>
              <w:rPr>
                <w:rFonts w:hint="eastAsia" w:ascii="仿宋" w:hAnsi="仿宋" w:eastAsia="仿宋" w:cs="仿宋"/>
                <w:kern w:val="0"/>
                <w:lang w:val="en-US" w:eastAsia="zh-CN"/>
              </w:rPr>
              <w:t>10</w:t>
            </w:r>
          </w:p>
        </w:tc>
        <w:tc>
          <w:tcPr>
            <w:tcW w:w="14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kern w:val="0"/>
              </w:rPr>
            </w:pPr>
            <w:r>
              <w:rPr>
                <w:rFonts w:hint="eastAsia" w:ascii="仿宋" w:hAnsi="仿宋" w:eastAsia="仿宋" w:cs="仿宋"/>
                <w:lang w:eastAsia="zh-CN"/>
              </w:rPr>
              <w:t>无偏差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tcBorders>
              <w:top w:val="single" w:color="auto" w:sz="4" w:space="0"/>
            </w:tcBorders>
            <w:vAlign w:val="center"/>
          </w:tcPr>
          <w:p>
            <w:pPr>
              <w:spacing w:line="240" w:lineRule="auto"/>
              <w:jc w:val="center"/>
              <w:rPr>
                <w:rFonts w:hint="eastAsia" w:ascii="仿宋" w:hAnsi="仿宋" w:eastAsia="仿宋" w:cs="仿宋"/>
                <w:kern w:val="0"/>
                <w:lang w:val="en-US" w:eastAsia="zh-CN"/>
              </w:rPr>
            </w:pPr>
            <w:r>
              <w:rPr>
                <w:rFonts w:hint="eastAsia" w:ascii="仿宋" w:hAnsi="仿宋" w:eastAsia="仿宋" w:cs="仿宋"/>
                <w:kern w:val="0"/>
                <w:lang w:val="en-US" w:eastAsia="zh-CN"/>
              </w:rPr>
              <w:t>成本指标</w:t>
            </w:r>
          </w:p>
          <w:p>
            <w:pPr>
              <w:spacing w:line="240" w:lineRule="auto"/>
              <w:jc w:val="center"/>
              <w:rPr>
                <w:rFonts w:hint="eastAsia" w:ascii="仿宋" w:hAnsi="仿宋" w:eastAsia="仿宋" w:cs="仿宋"/>
                <w:kern w:val="0"/>
                <w:lang w:val="en-US" w:eastAsia="zh-CN"/>
              </w:rPr>
            </w:pPr>
            <w:r>
              <w:rPr>
                <w:rFonts w:hint="eastAsia" w:ascii="仿宋" w:hAnsi="仿宋" w:eastAsia="仿宋" w:cs="仿宋"/>
                <w:kern w:val="0"/>
                <w:lang w:val="en-US" w:eastAsia="zh-CN"/>
              </w:rPr>
              <w:t>（20分）</w:t>
            </w:r>
          </w:p>
        </w:tc>
        <w:tc>
          <w:tcPr>
            <w:tcW w:w="1029" w:type="dxa"/>
            <w:tcBorders>
              <w:top w:val="single" w:color="auto" w:sz="4" w:space="0"/>
            </w:tcBorders>
            <w:vAlign w:val="center"/>
          </w:tcPr>
          <w:p>
            <w:pPr>
              <w:spacing w:line="240" w:lineRule="auto"/>
              <w:jc w:val="center"/>
              <w:rPr>
                <w:rFonts w:hint="eastAsia" w:ascii="仿宋" w:hAnsi="仿宋" w:eastAsia="仿宋" w:cs="仿宋"/>
                <w:kern w:val="0"/>
                <w:lang w:eastAsia="zh-CN"/>
              </w:rPr>
            </w:pPr>
            <w:r>
              <w:rPr>
                <w:rFonts w:hint="eastAsia" w:ascii="仿宋" w:hAnsi="仿宋" w:eastAsia="仿宋" w:cs="仿宋"/>
                <w:kern w:val="0"/>
                <w:lang w:eastAsia="zh-CN"/>
              </w:rPr>
              <w:t>经济成本指标</w:t>
            </w:r>
          </w:p>
        </w:tc>
        <w:tc>
          <w:tcPr>
            <w:tcW w:w="12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kern w:val="0"/>
                <w:lang w:eastAsia="zh-CN"/>
              </w:rPr>
            </w:pPr>
            <w:r>
              <w:rPr>
                <w:rFonts w:hint="eastAsia" w:ascii="仿宋" w:hAnsi="仿宋" w:eastAsia="仿宋" w:cs="仿宋"/>
                <w:snapToGrid w:val="0"/>
                <w:color w:val="000000"/>
                <w:kern w:val="0"/>
                <w:sz w:val="21"/>
                <w:szCs w:val="21"/>
                <w:lang w:val="en-US" w:eastAsia="zh-CN" w:bidi="ar-SA"/>
              </w:rPr>
              <w:t>预算批复金额</w:t>
            </w:r>
          </w:p>
        </w:tc>
        <w:tc>
          <w:tcPr>
            <w:tcW w:w="146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kern w:val="0"/>
              </w:rPr>
            </w:pPr>
            <w:r>
              <w:rPr>
                <w:rFonts w:hint="eastAsia" w:ascii="仿宋" w:hAnsi="仿宋" w:eastAsia="仿宋" w:cs="仿宋"/>
                <w:snapToGrid w:val="0"/>
                <w:color w:val="000000"/>
                <w:kern w:val="0"/>
                <w:sz w:val="21"/>
                <w:szCs w:val="21"/>
                <w:lang w:val="en-US" w:eastAsia="zh-CN" w:bidi="ar-SA"/>
              </w:rPr>
              <w:t>预算批复金额</w:t>
            </w: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kern w:val="0"/>
              </w:rPr>
            </w:pPr>
            <w:r>
              <w:rPr>
                <w:rFonts w:hint="eastAsia" w:ascii="仿宋" w:hAnsi="仿宋" w:eastAsia="仿宋" w:cs="仿宋"/>
                <w:snapToGrid w:val="0"/>
                <w:color w:val="000000"/>
                <w:kern w:val="0"/>
                <w:sz w:val="21"/>
                <w:szCs w:val="21"/>
                <w:lang w:val="en-US" w:eastAsia="zh-CN" w:bidi="ar-SA"/>
              </w:rPr>
              <w:t>预算批复金额</w:t>
            </w:r>
          </w:p>
        </w:tc>
        <w:tc>
          <w:tcPr>
            <w:tcW w:w="6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kern w:val="0"/>
                <w:lang w:val="en-US" w:eastAsia="zh-CN"/>
              </w:rPr>
            </w:pPr>
            <w:r>
              <w:rPr>
                <w:rFonts w:hint="eastAsia" w:ascii="仿宋" w:hAnsi="仿宋" w:eastAsia="仿宋" w:cs="仿宋"/>
                <w:kern w:val="0"/>
                <w:lang w:val="en-US" w:eastAsia="zh-CN"/>
              </w:rPr>
              <w:t>20</w:t>
            </w:r>
          </w:p>
        </w:tc>
        <w:tc>
          <w:tcPr>
            <w:tcW w:w="8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kern w:val="0"/>
                <w:lang w:val="en-US" w:eastAsia="zh-CN"/>
              </w:rPr>
            </w:pPr>
            <w:r>
              <w:rPr>
                <w:rFonts w:hint="eastAsia" w:ascii="仿宋" w:hAnsi="仿宋" w:eastAsia="仿宋" w:cs="仿宋"/>
                <w:kern w:val="0"/>
                <w:lang w:val="en-US" w:eastAsia="zh-CN"/>
              </w:rPr>
              <w:t>20</w:t>
            </w:r>
          </w:p>
        </w:tc>
        <w:tc>
          <w:tcPr>
            <w:tcW w:w="14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kern w:val="0"/>
              </w:rPr>
            </w:pPr>
            <w:r>
              <w:rPr>
                <w:rFonts w:hint="eastAsia" w:ascii="仿宋" w:hAnsi="仿宋" w:eastAsia="仿宋" w:cs="仿宋"/>
                <w:lang w:eastAsia="zh-CN"/>
              </w:rPr>
              <w:t>无偏差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6988" w:type="dxa"/>
            <w:gridSpan w:val="6"/>
            <w:vAlign w:val="center"/>
          </w:tcPr>
          <w:p>
            <w:pPr>
              <w:spacing w:line="240" w:lineRule="auto"/>
              <w:ind w:firstLine="420"/>
              <w:jc w:val="center"/>
              <w:rPr>
                <w:rFonts w:hint="eastAsia" w:ascii="仿宋" w:hAnsi="仿宋" w:eastAsia="仿宋" w:cs="仿宋"/>
                <w:kern w:val="0"/>
                <w:lang w:eastAsia="zh-CN"/>
              </w:rPr>
            </w:pPr>
            <w:r>
              <w:rPr>
                <w:rFonts w:hint="eastAsia" w:ascii="仿宋" w:hAnsi="仿宋" w:eastAsia="仿宋" w:cs="仿宋"/>
                <w:kern w:val="0"/>
                <w:lang w:eastAsia="zh-CN"/>
              </w:rPr>
              <w:t>总分</w:t>
            </w:r>
          </w:p>
        </w:tc>
        <w:tc>
          <w:tcPr>
            <w:tcW w:w="699" w:type="dxa"/>
            <w:vAlign w:val="center"/>
          </w:tcPr>
          <w:p>
            <w:pPr>
              <w:spacing w:line="240" w:lineRule="auto"/>
              <w:jc w:val="center"/>
              <w:rPr>
                <w:rFonts w:hint="eastAsia" w:ascii="仿宋" w:hAnsi="仿宋" w:eastAsia="仿宋" w:cs="仿宋"/>
                <w:kern w:val="0"/>
              </w:rPr>
            </w:pPr>
            <w:r>
              <w:rPr>
                <w:rFonts w:hint="eastAsia" w:ascii="仿宋" w:hAnsi="仿宋" w:eastAsia="仿宋" w:cs="仿宋"/>
                <w:kern w:val="0"/>
              </w:rPr>
              <w:t>100</w:t>
            </w:r>
          </w:p>
        </w:tc>
        <w:tc>
          <w:tcPr>
            <w:tcW w:w="8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kern w:val="0"/>
                <w:lang w:val="en-US" w:eastAsia="zh-CN"/>
              </w:rPr>
            </w:pPr>
            <w:r>
              <w:rPr>
                <w:rFonts w:hint="eastAsia" w:ascii="仿宋" w:hAnsi="仿宋" w:eastAsia="仿宋" w:cs="仿宋"/>
                <w:kern w:val="0"/>
                <w:lang w:val="en-US" w:eastAsia="zh-CN"/>
              </w:rPr>
              <w:t>100</w:t>
            </w:r>
          </w:p>
        </w:tc>
        <w:tc>
          <w:tcPr>
            <w:tcW w:w="14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 w:hAnsi="仿宋" w:eastAsia="仿宋" w:cs="仿宋"/>
                <w:kern w:val="0"/>
              </w:rPr>
            </w:pPr>
            <w:r>
              <w:rPr>
                <w:rFonts w:hint="eastAsia" w:ascii="仿宋" w:hAnsi="仿宋" w:eastAsia="仿宋" w:cs="仿宋"/>
                <w:lang w:eastAsia="zh-CN"/>
              </w:rPr>
              <w:t>无偏差</w:t>
            </w:r>
          </w:p>
        </w:tc>
      </w:tr>
    </w:tbl>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bCs/>
          <w:spacing w:val="-4"/>
          <w:kern w:val="0"/>
          <w:sz w:val="28"/>
          <w:szCs w:val="28"/>
          <w:lang w:eastAsia="zh-CN"/>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7"/>
        <w:tblW w:w="95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计划免疫经费(含二类疫苗补助)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汨罗市卫生健康局</w:t>
            </w: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汨罗市疾病预防控制中心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p>
        </w:tc>
        <w:tc>
          <w:tcPr>
            <w:tcW w:w="10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30</w:t>
            </w: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30</w:t>
            </w: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30</w:t>
            </w: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630" w:firstLineChars="30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630" w:firstLineChars="300"/>
              <w:jc w:val="center"/>
              <w:textAlignment w:val="baseline"/>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hint="eastAsia" w:ascii="仿宋_GB2312" w:hAnsi="宋体" w:eastAsia="仿宋_GB2312" w:cs="宋体"/>
                <w:kern w:val="0"/>
              </w:rPr>
              <w:t>完成基础免疫，接种率＞95%；完成IPV和麻疹类疫苗查漏补种，接种率＞95%。确保全年冷链运转正常进行，无疫苗针对疾病发生。</w:t>
            </w:r>
          </w:p>
        </w:tc>
        <w:tc>
          <w:tcPr>
            <w:tcW w:w="4140"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hint="eastAsia" w:ascii="仿宋_GB2312" w:hAnsi="宋体" w:eastAsia="仿宋_GB2312" w:cs="宋体"/>
                <w:kern w:val="0"/>
              </w:rPr>
              <w:t>2022年度全市共出生新生儿2790人，完成冷链运转12次。应完成基础免疫70884针次，实接种67410针次，接种率为95.09%；应完成查漏补种2158针次，实接种2038针次，接种率为94.44%。全年冷链运转正常进行，无其他疫苗针对疾病发生，社会公众对预防接种工作有较高的满意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Merge w:val="restart"/>
            <w:vAlign w:val="center"/>
          </w:tcPr>
          <w:p>
            <w:pPr>
              <w:pStyle w:val="8"/>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新出生目标儿童数*本年度内应完成的接种疫苗；33家预防接种单位冷链设备正常运转</w:t>
            </w:r>
          </w:p>
        </w:tc>
        <w:tc>
          <w:tcPr>
            <w:tcW w:w="1099" w:type="dxa"/>
            <w:vMerge w:val="restart"/>
            <w:vAlign w:val="center"/>
          </w:tcPr>
          <w:p>
            <w:pPr>
              <w:pStyle w:val="8"/>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100%</w:t>
            </w:r>
          </w:p>
        </w:tc>
        <w:tc>
          <w:tcPr>
            <w:tcW w:w="1099" w:type="dxa"/>
            <w:vMerge w:val="restart"/>
            <w:vAlign w:val="center"/>
          </w:tcPr>
          <w:p>
            <w:pPr>
              <w:pStyle w:val="8"/>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100%</w:t>
            </w: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w:t>
            </w: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w:t>
            </w: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_GB2312" w:hAnsi="宋体" w:eastAsia="仿宋_GB2312" w:cs="宋体"/>
                <w:kern w:val="0"/>
                <w:lang w:eastAsia="zh-CN"/>
              </w:rPr>
            </w:pPr>
            <w:r>
              <w:rPr>
                <w:rFonts w:hint="eastAsia" w:ascii="仿宋_GB2312" w:hAnsi="宋体" w:eastAsia="仿宋_GB2312" w:cs="宋体"/>
                <w:kern w:val="0"/>
                <w:lang w:eastAsia="zh-CN"/>
              </w:rPr>
              <w:t>无偏差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Merge w:val="restart"/>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质量指标</w:t>
            </w:r>
          </w:p>
        </w:tc>
        <w:tc>
          <w:tcPr>
            <w:tcW w:w="1099" w:type="dxa"/>
            <w:vMerge w:val="restart"/>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完成疫苗接种剂次，接种率达标</w:t>
            </w:r>
          </w:p>
        </w:tc>
        <w:tc>
          <w:tcPr>
            <w:tcW w:w="1099" w:type="dxa"/>
            <w:vMerge w:val="restart"/>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人民健康生活得到保障</w:t>
            </w: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w:t>
            </w: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w:t>
            </w: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hint="eastAsia" w:ascii="仿宋_GB2312" w:hAnsi="宋体" w:eastAsia="仿宋_GB2312" w:cs="宋体"/>
                <w:kern w:val="0"/>
                <w:lang w:eastAsia="zh-CN"/>
              </w:rPr>
              <w:t>无偏差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pStyle w:val="8"/>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完成时间</w:t>
            </w:r>
          </w:p>
        </w:tc>
        <w:tc>
          <w:tcPr>
            <w:tcW w:w="1099" w:type="dxa"/>
            <w:vAlign w:val="center"/>
          </w:tcPr>
          <w:p>
            <w:pPr>
              <w:pStyle w:val="8"/>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202</w:t>
            </w:r>
            <w:r>
              <w:rPr>
                <w:rFonts w:hint="eastAsia" w:ascii="仿宋_GB2312" w:hAnsi="宋体" w:eastAsia="仿宋_GB2312" w:cs="宋体"/>
                <w:snapToGrid w:val="0"/>
                <w:color w:val="000000"/>
                <w:kern w:val="0"/>
                <w:sz w:val="21"/>
                <w:szCs w:val="21"/>
                <w:lang w:val="en-US" w:eastAsia="zh-CN" w:bidi="ar-SA"/>
              </w:rPr>
              <w:t>2</w:t>
            </w:r>
            <w:r>
              <w:rPr>
                <w:rFonts w:hint="eastAsia" w:ascii="仿宋_GB2312" w:hAnsi="宋体" w:eastAsia="仿宋_GB2312" w:cs="宋体"/>
                <w:snapToGrid w:val="0"/>
                <w:color w:val="000000"/>
                <w:kern w:val="0"/>
                <w:sz w:val="21"/>
                <w:szCs w:val="21"/>
                <w:lang w:val="en-US" w:eastAsia="en-US" w:bidi="ar-SA"/>
              </w:rPr>
              <w:t>年全年</w:t>
            </w:r>
          </w:p>
        </w:tc>
        <w:tc>
          <w:tcPr>
            <w:tcW w:w="1099" w:type="dxa"/>
            <w:vAlign w:val="center"/>
          </w:tcPr>
          <w:p>
            <w:pPr>
              <w:pStyle w:val="8"/>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按时完成</w:t>
            </w: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w:t>
            </w: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w:t>
            </w: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hint="eastAsia" w:ascii="仿宋_GB2312" w:hAnsi="宋体" w:eastAsia="仿宋_GB2312" w:cs="宋体"/>
                <w:kern w:val="0"/>
                <w:lang w:eastAsia="zh-CN"/>
              </w:rPr>
              <w:t>无偏差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pStyle w:val="8"/>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提高卫生服务质量</w:t>
            </w:r>
          </w:p>
        </w:tc>
        <w:tc>
          <w:tcPr>
            <w:tcW w:w="1099" w:type="dxa"/>
            <w:vAlign w:val="center"/>
          </w:tcPr>
          <w:p>
            <w:pPr>
              <w:pStyle w:val="8"/>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有所提升</w:t>
            </w:r>
          </w:p>
        </w:tc>
        <w:tc>
          <w:tcPr>
            <w:tcW w:w="1099" w:type="dxa"/>
            <w:vAlign w:val="center"/>
          </w:tcPr>
          <w:p>
            <w:pPr>
              <w:pStyle w:val="8"/>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有所提升</w:t>
            </w: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hint="eastAsia" w:ascii="仿宋_GB2312" w:hAnsi="宋体" w:eastAsia="仿宋_GB2312" w:cs="宋体"/>
                <w:kern w:val="0"/>
                <w:lang w:eastAsia="zh-CN"/>
              </w:rPr>
              <w:t>无偏差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pStyle w:val="8"/>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提高我市目标儿童疫苗接种率</w:t>
            </w:r>
          </w:p>
        </w:tc>
        <w:tc>
          <w:tcPr>
            <w:tcW w:w="1099" w:type="dxa"/>
            <w:vAlign w:val="center"/>
          </w:tcPr>
          <w:p>
            <w:pPr>
              <w:pStyle w:val="8"/>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有所提升</w:t>
            </w:r>
          </w:p>
        </w:tc>
        <w:tc>
          <w:tcPr>
            <w:tcW w:w="1099" w:type="dxa"/>
            <w:vAlign w:val="center"/>
          </w:tcPr>
          <w:p>
            <w:pPr>
              <w:pStyle w:val="8"/>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有所提升</w:t>
            </w: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hint="eastAsia" w:ascii="仿宋_GB2312" w:hAnsi="宋体" w:eastAsia="仿宋_GB2312" w:cs="宋体"/>
                <w:kern w:val="0"/>
                <w:lang w:eastAsia="zh-CN"/>
              </w:rPr>
              <w:t>无偏差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Merge w:val="restart"/>
            <w:vAlign w:val="center"/>
          </w:tcPr>
          <w:p>
            <w:pPr>
              <w:pStyle w:val="8"/>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卫生环境改善</w:t>
            </w:r>
          </w:p>
        </w:tc>
        <w:tc>
          <w:tcPr>
            <w:tcW w:w="1099" w:type="dxa"/>
            <w:vMerge w:val="restart"/>
            <w:vAlign w:val="center"/>
          </w:tcPr>
          <w:p>
            <w:pPr>
              <w:pStyle w:val="8"/>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有所改善</w:t>
            </w:r>
          </w:p>
        </w:tc>
        <w:tc>
          <w:tcPr>
            <w:tcW w:w="1099" w:type="dxa"/>
            <w:vMerge w:val="restart"/>
            <w:vAlign w:val="center"/>
          </w:tcPr>
          <w:p>
            <w:pPr>
              <w:pStyle w:val="8"/>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有所改善</w:t>
            </w:r>
          </w:p>
        </w:tc>
        <w:tc>
          <w:tcPr>
            <w:tcW w:w="809"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hint="eastAsia" w:ascii="仿宋_GB2312" w:hAnsi="宋体" w:eastAsia="仿宋_GB2312" w:cs="宋体"/>
                <w:kern w:val="0"/>
                <w:lang w:eastAsia="zh-CN"/>
              </w:rPr>
              <w:t>无偏差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auto" w:sz="4" w:space="0"/>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pStyle w:val="8"/>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促进可持续发展</w:t>
            </w:r>
          </w:p>
        </w:tc>
        <w:tc>
          <w:tcPr>
            <w:tcW w:w="1099" w:type="dxa"/>
            <w:vAlign w:val="center"/>
          </w:tcPr>
          <w:p>
            <w:pPr>
              <w:pStyle w:val="8"/>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持续</w:t>
            </w:r>
          </w:p>
        </w:tc>
        <w:tc>
          <w:tcPr>
            <w:tcW w:w="1099" w:type="dxa"/>
            <w:vAlign w:val="center"/>
          </w:tcPr>
          <w:p>
            <w:pPr>
              <w:pStyle w:val="8"/>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持续</w:t>
            </w: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hint="eastAsia" w:ascii="仿宋_GB2312" w:hAnsi="宋体" w:eastAsia="仿宋_GB2312" w:cs="宋体"/>
                <w:kern w:val="0"/>
                <w:lang w:eastAsia="zh-CN"/>
              </w:rPr>
              <w:t>无偏差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54" w:type="dxa"/>
            <w:vMerge w:val="continue"/>
            <w:tcBorders>
              <w:right w:val="single" w:color="auto" w:sz="4" w:space="0"/>
            </w:tcBorders>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single" w:color="auto" w:sz="4" w:space="0"/>
              <w:left w:val="single" w:color="auto" w:sz="4" w:space="0"/>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tcBorders>
              <w:left w:val="single" w:color="auto" w:sz="4" w:space="0"/>
            </w:tcBorders>
            <w:vAlign w:val="center"/>
          </w:tcPr>
          <w:p>
            <w:pPr>
              <w:pStyle w:val="8"/>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社会公众满意度</w:t>
            </w:r>
          </w:p>
        </w:tc>
        <w:tc>
          <w:tcPr>
            <w:tcW w:w="1099" w:type="dxa"/>
            <w:vAlign w:val="center"/>
          </w:tcPr>
          <w:p>
            <w:pPr>
              <w:pStyle w:val="8"/>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≥95%</w:t>
            </w:r>
          </w:p>
        </w:tc>
        <w:tc>
          <w:tcPr>
            <w:tcW w:w="1099" w:type="dxa"/>
            <w:vAlign w:val="center"/>
          </w:tcPr>
          <w:p>
            <w:pPr>
              <w:pStyle w:val="8"/>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99.5%</w:t>
            </w: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hint="eastAsia" w:ascii="仿宋_GB2312" w:hAnsi="宋体" w:eastAsia="仿宋_GB2312" w:cs="宋体"/>
                <w:kern w:val="0"/>
                <w:lang w:eastAsia="zh-CN"/>
              </w:rPr>
              <w:t>无偏差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top w:val="single" w:color="auto"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pStyle w:val="8"/>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预算批复金额</w:t>
            </w:r>
          </w:p>
        </w:tc>
        <w:tc>
          <w:tcPr>
            <w:tcW w:w="1099" w:type="dxa"/>
            <w:vAlign w:val="center"/>
          </w:tcPr>
          <w:p>
            <w:pPr>
              <w:pStyle w:val="8"/>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30</w:t>
            </w:r>
            <w:r>
              <w:rPr>
                <w:rFonts w:hint="eastAsia" w:ascii="仿宋_GB2312" w:hAnsi="宋体" w:eastAsia="仿宋_GB2312" w:cs="宋体"/>
                <w:snapToGrid w:val="0"/>
                <w:color w:val="000000"/>
                <w:kern w:val="0"/>
                <w:sz w:val="21"/>
                <w:szCs w:val="21"/>
                <w:lang w:val="en-US" w:eastAsia="en-US" w:bidi="ar-SA"/>
              </w:rPr>
              <w:t>万元</w:t>
            </w:r>
          </w:p>
        </w:tc>
        <w:tc>
          <w:tcPr>
            <w:tcW w:w="1099" w:type="dxa"/>
            <w:vAlign w:val="center"/>
          </w:tcPr>
          <w:p>
            <w:pPr>
              <w:pStyle w:val="8"/>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30</w:t>
            </w:r>
            <w:r>
              <w:rPr>
                <w:rFonts w:hint="eastAsia" w:ascii="仿宋_GB2312" w:hAnsi="宋体" w:eastAsia="仿宋_GB2312" w:cs="宋体"/>
                <w:snapToGrid w:val="0"/>
                <w:color w:val="000000"/>
                <w:kern w:val="0"/>
                <w:sz w:val="21"/>
                <w:szCs w:val="21"/>
                <w:lang w:val="en-US" w:eastAsia="en-US" w:bidi="ar-SA"/>
              </w:rPr>
              <w:t>万元</w:t>
            </w: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20</w:t>
            </w: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hint="eastAsia" w:ascii="仿宋_GB2312" w:hAnsi="宋体" w:eastAsia="仿宋_GB2312" w:cs="宋体"/>
                <w:kern w:val="0"/>
                <w:lang w:eastAsia="zh-CN"/>
              </w:rPr>
              <w:t>无偏差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hint="eastAsia" w:ascii="仿宋_GB2312" w:hAnsi="宋体" w:eastAsia="仿宋_GB2312" w:cs="宋体"/>
                <w:kern w:val="0"/>
                <w:lang w:eastAsia="zh-CN"/>
              </w:rPr>
              <w:t>无偏差</w:t>
            </w: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填表人：刘雪婷</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 xml:space="preserve"> </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hint="eastAsia" w:ascii="仿宋_GB2312" w:hAnsi="宋体" w:eastAsia="仿宋_GB2312" w:cs="宋体"/>
          <w:kern w:val="0"/>
          <w:lang w:val="en-US" w:eastAsia="zh-CN"/>
        </w:rPr>
        <w:t>2023.06.18</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 xml:space="preserve"> </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13975356190</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jc w:val="left"/>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疫情防控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汨罗市卫生健康局</w:t>
            </w: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汨罗市疾病预防控制中心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p>
        </w:tc>
        <w:tc>
          <w:tcPr>
            <w:tcW w:w="10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50</w:t>
            </w: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50</w:t>
            </w: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50</w:t>
            </w: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630" w:firstLineChars="30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630" w:firstLineChars="300"/>
              <w:jc w:val="center"/>
              <w:textAlignment w:val="baseline"/>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p>
        </w:tc>
        <w:tc>
          <w:tcPr>
            <w:tcW w:w="4140"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Merge w:val="restart"/>
            <w:vAlign w:val="center"/>
          </w:tcPr>
          <w:p>
            <w:pPr>
              <w:pStyle w:val="8"/>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完成疫情防控指挥部指令任务</w:t>
            </w:r>
          </w:p>
        </w:tc>
        <w:tc>
          <w:tcPr>
            <w:tcW w:w="1099" w:type="dxa"/>
            <w:vMerge w:val="restart"/>
            <w:vAlign w:val="center"/>
          </w:tcPr>
          <w:p>
            <w:pPr>
              <w:pStyle w:val="8"/>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全部完成</w:t>
            </w:r>
          </w:p>
        </w:tc>
        <w:tc>
          <w:tcPr>
            <w:tcW w:w="1099" w:type="dxa"/>
            <w:vMerge w:val="restart"/>
            <w:vAlign w:val="center"/>
          </w:tcPr>
          <w:p>
            <w:pPr>
              <w:pStyle w:val="8"/>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全部完成</w:t>
            </w: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w:t>
            </w: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w:t>
            </w: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_GB2312" w:hAnsi="宋体" w:eastAsia="仿宋_GB2312" w:cs="宋体"/>
                <w:kern w:val="0"/>
                <w:lang w:eastAsia="zh-CN"/>
              </w:rPr>
            </w:pPr>
            <w:r>
              <w:rPr>
                <w:rFonts w:hint="eastAsia" w:ascii="仿宋_GB2312" w:hAnsi="宋体" w:eastAsia="仿宋_GB2312" w:cs="宋体"/>
                <w:kern w:val="0"/>
                <w:lang w:eastAsia="zh-CN"/>
              </w:rPr>
              <w:t>无偏差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Merge w:val="restart"/>
            <w:vAlign w:val="center"/>
          </w:tcPr>
          <w:p>
            <w:pPr>
              <w:pStyle w:val="8"/>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保障正常运转</w:t>
            </w:r>
          </w:p>
        </w:tc>
        <w:tc>
          <w:tcPr>
            <w:tcW w:w="1099" w:type="dxa"/>
            <w:vMerge w:val="restart"/>
            <w:vAlign w:val="center"/>
          </w:tcPr>
          <w:p>
            <w:pPr>
              <w:pStyle w:val="8"/>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正常运转</w:t>
            </w:r>
          </w:p>
        </w:tc>
        <w:tc>
          <w:tcPr>
            <w:tcW w:w="1099" w:type="dxa"/>
            <w:vMerge w:val="restart"/>
            <w:vAlign w:val="center"/>
          </w:tcPr>
          <w:p>
            <w:pPr>
              <w:pStyle w:val="8"/>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正常运转</w:t>
            </w: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w:t>
            </w: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w:t>
            </w: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hint="eastAsia" w:ascii="仿宋_GB2312" w:hAnsi="宋体" w:eastAsia="仿宋_GB2312" w:cs="宋体"/>
                <w:kern w:val="0"/>
                <w:lang w:eastAsia="zh-CN"/>
              </w:rPr>
              <w:t>无偏差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pStyle w:val="8"/>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完成时间</w:t>
            </w:r>
          </w:p>
        </w:tc>
        <w:tc>
          <w:tcPr>
            <w:tcW w:w="1099" w:type="dxa"/>
            <w:vAlign w:val="center"/>
          </w:tcPr>
          <w:p>
            <w:pPr>
              <w:pStyle w:val="8"/>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202</w:t>
            </w:r>
            <w:r>
              <w:rPr>
                <w:rFonts w:hint="eastAsia" w:ascii="仿宋_GB2312" w:hAnsi="宋体" w:eastAsia="仿宋_GB2312" w:cs="宋体"/>
                <w:snapToGrid w:val="0"/>
                <w:color w:val="000000"/>
                <w:kern w:val="0"/>
                <w:sz w:val="21"/>
                <w:szCs w:val="21"/>
                <w:lang w:val="en-US" w:eastAsia="zh-CN" w:bidi="ar-SA"/>
              </w:rPr>
              <w:t>3</w:t>
            </w:r>
            <w:r>
              <w:rPr>
                <w:rFonts w:hint="eastAsia" w:ascii="仿宋_GB2312" w:hAnsi="宋体" w:eastAsia="仿宋_GB2312" w:cs="宋体"/>
                <w:snapToGrid w:val="0"/>
                <w:color w:val="000000"/>
                <w:kern w:val="0"/>
                <w:sz w:val="21"/>
                <w:szCs w:val="21"/>
                <w:lang w:val="en-US" w:eastAsia="en-US" w:bidi="ar-SA"/>
              </w:rPr>
              <w:t>年全年</w:t>
            </w:r>
          </w:p>
        </w:tc>
        <w:tc>
          <w:tcPr>
            <w:tcW w:w="1099" w:type="dxa"/>
            <w:vAlign w:val="center"/>
          </w:tcPr>
          <w:p>
            <w:pPr>
              <w:pStyle w:val="8"/>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按时完成</w:t>
            </w: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w:t>
            </w: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w:t>
            </w: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hint="eastAsia" w:ascii="仿宋_GB2312" w:hAnsi="宋体" w:eastAsia="仿宋_GB2312" w:cs="宋体"/>
                <w:kern w:val="0"/>
                <w:lang w:eastAsia="zh-CN"/>
              </w:rPr>
              <w:t>无偏差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pStyle w:val="8"/>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预算批复金额</w:t>
            </w:r>
          </w:p>
        </w:tc>
        <w:tc>
          <w:tcPr>
            <w:tcW w:w="1099" w:type="dxa"/>
            <w:vAlign w:val="center"/>
          </w:tcPr>
          <w:p>
            <w:pPr>
              <w:pStyle w:val="8"/>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30</w:t>
            </w:r>
            <w:r>
              <w:rPr>
                <w:rFonts w:hint="eastAsia" w:ascii="仿宋_GB2312" w:hAnsi="宋体" w:eastAsia="仿宋_GB2312" w:cs="宋体"/>
                <w:snapToGrid w:val="0"/>
                <w:color w:val="000000"/>
                <w:kern w:val="0"/>
                <w:sz w:val="21"/>
                <w:szCs w:val="21"/>
                <w:lang w:val="en-US" w:eastAsia="en-US" w:bidi="ar-SA"/>
              </w:rPr>
              <w:t>万元</w:t>
            </w:r>
          </w:p>
        </w:tc>
        <w:tc>
          <w:tcPr>
            <w:tcW w:w="1099" w:type="dxa"/>
            <w:vAlign w:val="center"/>
          </w:tcPr>
          <w:p>
            <w:pPr>
              <w:pStyle w:val="8"/>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30</w:t>
            </w:r>
            <w:r>
              <w:rPr>
                <w:rFonts w:hint="eastAsia" w:ascii="仿宋_GB2312" w:hAnsi="宋体" w:eastAsia="仿宋_GB2312" w:cs="宋体"/>
                <w:snapToGrid w:val="0"/>
                <w:color w:val="000000"/>
                <w:kern w:val="0"/>
                <w:sz w:val="21"/>
                <w:szCs w:val="21"/>
                <w:lang w:val="en-US" w:eastAsia="en-US" w:bidi="ar-SA"/>
              </w:rPr>
              <w:t>万元</w:t>
            </w: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hint="eastAsia" w:ascii="仿宋_GB2312" w:hAnsi="宋体" w:eastAsia="仿宋_GB2312" w:cs="宋体"/>
                <w:kern w:val="0"/>
                <w:lang w:eastAsia="zh-CN"/>
              </w:rPr>
              <w:t>无偏差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pStyle w:val="8"/>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提高卫生服务质量</w:t>
            </w:r>
          </w:p>
        </w:tc>
        <w:tc>
          <w:tcPr>
            <w:tcW w:w="1099" w:type="dxa"/>
            <w:vAlign w:val="center"/>
          </w:tcPr>
          <w:p>
            <w:pPr>
              <w:pStyle w:val="8"/>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有所提升</w:t>
            </w:r>
          </w:p>
        </w:tc>
        <w:tc>
          <w:tcPr>
            <w:tcW w:w="1099" w:type="dxa"/>
            <w:vAlign w:val="center"/>
          </w:tcPr>
          <w:p>
            <w:pPr>
              <w:pStyle w:val="8"/>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有所提升</w:t>
            </w: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hint="eastAsia" w:ascii="仿宋_GB2312" w:hAnsi="宋体" w:eastAsia="仿宋_GB2312" w:cs="宋体"/>
                <w:kern w:val="0"/>
                <w:lang w:eastAsia="zh-CN"/>
              </w:rPr>
              <w:t>无偏差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Merge w:val="restart"/>
            <w:vAlign w:val="center"/>
          </w:tcPr>
          <w:p>
            <w:pPr>
              <w:pStyle w:val="8"/>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保障社会和谐稳定</w:t>
            </w:r>
          </w:p>
        </w:tc>
        <w:tc>
          <w:tcPr>
            <w:tcW w:w="1099" w:type="dxa"/>
            <w:vMerge w:val="restart"/>
            <w:vAlign w:val="center"/>
          </w:tcPr>
          <w:p>
            <w:pPr>
              <w:pStyle w:val="8"/>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保障稳定</w:t>
            </w:r>
          </w:p>
        </w:tc>
        <w:tc>
          <w:tcPr>
            <w:tcW w:w="1099" w:type="dxa"/>
            <w:vMerge w:val="restart"/>
            <w:vAlign w:val="center"/>
          </w:tcPr>
          <w:p>
            <w:pPr>
              <w:pStyle w:val="8"/>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保障稳定</w:t>
            </w:r>
          </w:p>
        </w:tc>
        <w:tc>
          <w:tcPr>
            <w:tcW w:w="809"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hint="eastAsia" w:ascii="仿宋_GB2312" w:hAnsi="宋体" w:eastAsia="仿宋_GB2312" w:cs="宋体"/>
                <w:kern w:val="0"/>
                <w:lang w:eastAsia="zh-CN"/>
              </w:rPr>
              <w:t>无偏差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auto" w:sz="4" w:space="0"/>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pStyle w:val="8"/>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生态环境改变状况</w:t>
            </w:r>
          </w:p>
        </w:tc>
        <w:tc>
          <w:tcPr>
            <w:tcW w:w="1099" w:type="dxa"/>
            <w:vAlign w:val="center"/>
          </w:tcPr>
          <w:p>
            <w:pPr>
              <w:pStyle w:val="8"/>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有所改善</w:t>
            </w:r>
          </w:p>
        </w:tc>
        <w:tc>
          <w:tcPr>
            <w:tcW w:w="1099" w:type="dxa"/>
            <w:vAlign w:val="center"/>
          </w:tcPr>
          <w:p>
            <w:pPr>
              <w:pStyle w:val="8"/>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有所改善</w:t>
            </w: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hint="eastAsia" w:ascii="仿宋_GB2312" w:hAnsi="宋体" w:eastAsia="仿宋_GB2312" w:cs="宋体"/>
                <w:kern w:val="0"/>
                <w:lang w:eastAsia="zh-CN"/>
              </w:rPr>
              <w:t>无偏差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1054" w:type="dxa"/>
            <w:vMerge w:val="continue"/>
            <w:tcBorders>
              <w:right w:val="single" w:color="auto" w:sz="4" w:space="0"/>
            </w:tcBorders>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single" w:color="auto" w:sz="4" w:space="0"/>
              <w:left w:val="single" w:color="auto" w:sz="4" w:space="0"/>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tcBorders>
              <w:left w:val="single" w:color="auto" w:sz="4" w:space="0"/>
            </w:tcBorders>
            <w:vAlign w:val="center"/>
          </w:tcPr>
          <w:p>
            <w:pPr>
              <w:pStyle w:val="8"/>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促进可持续发展</w:t>
            </w:r>
          </w:p>
        </w:tc>
        <w:tc>
          <w:tcPr>
            <w:tcW w:w="1099" w:type="dxa"/>
            <w:vAlign w:val="center"/>
          </w:tcPr>
          <w:p>
            <w:pPr>
              <w:pStyle w:val="8"/>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持续</w:t>
            </w:r>
          </w:p>
        </w:tc>
        <w:tc>
          <w:tcPr>
            <w:tcW w:w="1099" w:type="dxa"/>
            <w:vAlign w:val="center"/>
          </w:tcPr>
          <w:p>
            <w:pPr>
              <w:pStyle w:val="8"/>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持续</w:t>
            </w: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hint="eastAsia" w:ascii="仿宋_GB2312" w:hAnsi="宋体" w:eastAsia="仿宋_GB2312" w:cs="宋体"/>
                <w:kern w:val="0"/>
                <w:lang w:eastAsia="zh-CN"/>
              </w:rPr>
              <w:t>无偏差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top w:val="single" w:color="auto"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pStyle w:val="8"/>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社会公众满意度</w:t>
            </w:r>
          </w:p>
        </w:tc>
        <w:tc>
          <w:tcPr>
            <w:tcW w:w="1099" w:type="dxa"/>
            <w:vAlign w:val="center"/>
          </w:tcPr>
          <w:p>
            <w:pPr>
              <w:pStyle w:val="8"/>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≥95%</w:t>
            </w:r>
          </w:p>
        </w:tc>
        <w:tc>
          <w:tcPr>
            <w:tcW w:w="1099" w:type="dxa"/>
            <w:vAlign w:val="center"/>
          </w:tcPr>
          <w:p>
            <w:pPr>
              <w:pStyle w:val="8"/>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99.5%</w:t>
            </w: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20</w:t>
            </w: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hint="eastAsia" w:ascii="仿宋_GB2312" w:hAnsi="宋体" w:eastAsia="仿宋_GB2312" w:cs="宋体"/>
                <w:kern w:val="0"/>
                <w:lang w:eastAsia="zh-CN"/>
              </w:rPr>
              <w:t>无偏差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hint="eastAsia" w:ascii="仿宋_GB2312" w:hAnsi="宋体" w:eastAsia="仿宋_GB2312" w:cs="宋体"/>
                <w:kern w:val="0"/>
                <w:lang w:eastAsia="zh-CN"/>
              </w:rPr>
              <w:t>无偏差</w:t>
            </w: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填表人：刘雪婷</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 xml:space="preserve"> </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hint="eastAsia" w:ascii="仿宋_GB2312" w:hAnsi="宋体" w:eastAsia="仿宋_GB2312" w:cs="宋体"/>
          <w:kern w:val="0"/>
          <w:lang w:val="en-US" w:eastAsia="zh-CN"/>
        </w:rPr>
        <w:t>2023.06.18</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 xml:space="preserve"> </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13975356190</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rPr>
          <w:rFonts w:ascii="仿宋_GB2312" w:hAnsi="宋体" w:eastAsia="仿宋_GB2312" w:cs="宋体"/>
          <w:lang w:eastAsia="zh-CN"/>
        </w:rPr>
        <w:sectPr>
          <w:footerReference r:id="rId7" w:type="default"/>
          <w:pgSz w:w="11907" w:h="16839"/>
          <w:pgMar w:top="1474" w:right="1474" w:bottom="1474" w:left="1587" w:header="0" w:footer="1588" w:gutter="0"/>
          <w:pgNumType w:fmt="numberInDash"/>
          <w:cols w:space="720" w:num="1"/>
          <w:docGrid w:linePitch="286" w:charSpace="0"/>
        </w:sectPr>
      </w:pPr>
    </w:p>
    <w:p>
      <w:pPr>
        <w:spacing w:line="267" w:lineRule="auto"/>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jc w:val="both"/>
        <w:rPr>
          <w:rFonts w:hint="eastAsia" w:ascii="方正小标宋简体" w:eastAsia="方正小标宋简体"/>
          <w:kern w:val="0"/>
          <w:sz w:val="44"/>
          <w:szCs w:val="44"/>
          <w:lang w:eastAsia="zh-CN"/>
        </w:rPr>
      </w:pPr>
    </w:p>
    <w:p>
      <w:pPr>
        <w:spacing w:line="240" w:lineRule="auto"/>
        <w:ind w:firstLine="880"/>
        <w:jc w:val="center"/>
        <w:rPr>
          <w:rFonts w:ascii="方正小标宋简体" w:eastAsia="方正小标宋简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汨罗市疾病预防控制中心</w:t>
      </w:r>
      <w:r>
        <w:rPr>
          <w:rFonts w:hint="eastAsia" w:ascii="方正小标宋简体" w:hAnsi="宋体" w:eastAsia="方正小标宋简体" w:cs="宋体"/>
          <w:kern w:val="0"/>
          <w:sz w:val="44"/>
          <w:szCs w:val="44"/>
          <w:lang w:eastAsia="zh-CN"/>
        </w:rPr>
        <w:t>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部门(单位)名称：汨罗市疾病预防控制中心(盖</w:t>
      </w:r>
      <w:r>
        <w:rPr>
          <w:rFonts w:hint="eastAsia" w:ascii="楷体_GB2312" w:hAnsi="仿宋" w:eastAsia="楷体_GB2312" w:cs="仿宋"/>
          <w:b/>
          <w:bCs/>
          <w:snapToGrid w:val="0"/>
          <w:color w:val="000000"/>
          <w:spacing w:val="-28"/>
          <w:sz w:val="32"/>
          <w:szCs w:val="32"/>
          <w:u w:val="single"/>
          <w:lang w:val="en-US" w:eastAsia="zh-CN" w:bidi="ar-SA"/>
        </w:rPr>
        <w:t>章)</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2023</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06</w:t>
      </w:r>
      <w:r>
        <w:rPr>
          <w:rFonts w:hint="eastAsia" w:ascii="楷体_GB2312" w:hAnsi="楷体" w:eastAsia="楷体_GB2312" w:cs="楷体"/>
          <w:b/>
          <w:bCs/>
          <w:spacing w:val="-13"/>
          <w:kern w:val="0"/>
          <w:sz w:val="32"/>
          <w:szCs w:val="32"/>
          <w:lang w:eastAsia="zh-CN"/>
        </w:rPr>
        <w:t xml:space="preserve">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30</w:t>
      </w:r>
      <w:r>
        <w:rPr>
          <w:rFonts w:hint="eastAsia" w:ascii="楷体_GB2312" w:hAnsi="楷体" w:eastAsia="楷体_GB2312" w:cs="楷体"/>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ind w:firstLine="360"/>
            <w:jc w:val="left"/>
            <w:rPr>
              <w:rFonts w:asciiTheme="minorEastAsia" w:hAnsiTheme="minorEastAsia" w:eastAsiaTheme="minorEastAsia"/>
              <w:kern w:val="0"/>
              <w:lang w:eastAsia="zh-CN"/>
            </w:rPr>
          </w:pPr>
        </w:p>
      </w:sdtContent>
    </w:sdt>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年度</w:t>
      </w:r>
      <w:r>
        <w:rPr>
          <w:rFonts w:hint="eastAsia" w:ascii="黑体" w:hAnsi="黑体" w:eastAsia="黑体" w:cs="黑体"/>
          <w:spacing w:val="16"/>
          <w:sz w:val="40"/>
          <w:szCs w:val="40"/>
          <w:lang w:eastAsia="zh-CN"/>
        </w:rPr>
        <w:t>汨罗市疾病预防控制中心</w:t>
      </w:r>
      <w:r>
        <w:rPr>
          <w:rFonts w:ascii="黑体" w:hAnsi="黑体" w:eastAsia="黑体" w:cs="黑体"/>
          <w:spacing w:val="16"/>
          <w:sz w:val="40"/>
          <w:szCs w:val="40"/>
        </w:rPr>
        <w:t>部门整体支出绩效自评报告</w:t>
      </w:r>
    </w:p>
    <w:p>
      <w:pPr>
        <w:rPr>
          <w:lang w:val="en-US" w:eastAsia="zh-CN"/>
        </w:rPr>
      </w:pPr>
    </w:p>
    <w:p>
      <w:p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一、部门(单位)基本情况</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负责全市疾病监测、疾病防治研究、疾病预防控制、卫生监测、突发公共卫生事件处理、卫生宣传与健康教育、卫生防疫培训与技术指导等工作。</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2022年基本支出决算数为2929.2</w:t>
      </w:r>
      <w:r>
        <w:rPr>
          <w:rFonts w:hint="eastAsia" w:ascii="Times New Roman" w:hAnsi="Times New Roman" w:eastAsia="仿宋_GB2312"/>
          <w:kern w:val="0"/>
          <w:sz w:val="32"/>
          <w:szCs w:val="32"/>
          <w:lang w:val="en-US" w:eastAsia="zh-CN"/>
        </w:rPr>
        <w:t>1</w:t>
      </w:r>
      <w:r>
        <w:rPr>
          <w:rFonts w:hint="eastAsia" w:ascii="Times New Roman" w:hAnsi="Times New Roman" w:eastAsia="仿宋_GB2312"/>
          <w:kern w:val="0"/>
          <w:sz w:val="32"/>
          <w:szCs w:val="32"/>
          <w:lang w:eastAsia="zh-CN"/>
        </w:rPr>
        <w:t>万元，是指为保障单位机构正常运转、完成日常工作任务而发生的各项支出，包括用于基本工资、津贴补贴等人员经费以及办公费、印刷费、水电费、差旅费等日常公用经费。其中人员经费961.76万元，公用经费1967.46万元。</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（二）</w:t>
      </w:r>
      <w:r>
        <w:rPr>
          <w:rFonts w:hint="eastAsia" w:ascii="Times New Roman" w:hAnsi="Times New Roman" w:eastAsia="仿宋_GB2312"/>
          <w:kern w:val="0"/>
          <w:sz w:val="32"/>
          <w:szCs w:val="32"/>
          <w:lang w:eastAsia="zh-CN"/>
        </w:rPr>
        <w:t>项目支出情况</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2022年项目支出决算数为5658.6万元，是指单位为完成特定行政工作任务或事业发展目标而发生的支出，包括有关业务工作经费和运行维护经费。其中其中：中央和省级财政拨入5543.6万元、本级财政配套经费115万元、上年结余0万元。各项目资金拨付使用情况为：重大公共卫生服务项目：140.1万元，突发公共卫生事件应急处理4807.08万元，基本公共卫生123.7万元，其他公共卫生支出587.72万元。资金到位后，市疾控中心严格按照中央、省、县（市）规定的项目和标准使用资金，不存在虚列项目支出、超标准开支的情况，不存在截留、挤占、挪用项目资金现象，做到了专款专用。2022年，当年项目资金使用率达100%。</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p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我单位无政府性基金预算收支。</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四、国有资本经营预算支出情况</w:t>
      </w:r>
    </w:p>
    <w:p>
      <w:p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我单位无国有资本经营预算收支。</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五、社会保险基金预算支出情况</w:t>
      </w:r>
    </w:p>
    <w:p>
      <w:p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我单位无社会保险基金预算收支。</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（一）为全市适龄儿童提供全面、规范的预防接种服务，筑起较高的群体免疫屏障，预防和控制相应传染病的流行爆发，每季度完成对各预防接种门诊的督导,年中与年终完成对各部门的考核。</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（二）传染病防控及卫生应急</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今年全市共有27家医院、2所社区卫生服务中心以及市疾控中心均实行了网络直报，全市所有报告单位基本及时、准确、按要求完成了疫情报告和每月按时登录传染病网络报告系统。已完成全市各乡镇卫生院全面督查4次（第四次正在进行中），指出问题，当场解决，起到了较好指导作用。共审核传染病报告卡3627张，删除重卡141张，处理预警137起。每日上报新冠疫情基本情况统计日报表，及时上传实验室核酸检测结果。共收到外地协查函121份，均24小时内完成流行病学调查，均及时建议指挥部严格落实在汨密切接触者及次密切接触者集中隔离与健康监测。已采集36例手足口病样送岳阳市疾控中心监测，其中EV71阳性0例，COAx16阳性6例，其他肠道病毒阳性10例。开展了内外环境的疫源检索，共完成内环境腹泻病人检测190人次，外环境水样30份，甲鱼样30份，其它水产品样30份，经检查均未检出霍乱弧菌。全市报告了多起诺如病毒、手足口病、流感聚集性疫情，均及时采取了有效的控制措施，无二代病例发生。</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（三）地方病、慢性病、学校传染病防治工作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开展碘盐监测，共采集了300份食盐样、300份尿样，同时测算了8-10岁儿童甲状腺体积，已完成检测，先后组织或参与了结核病防治日、肿瘤宣传周、防治碘缺乏病日、世界无烟日、世界艾滋病日、全民营养周暨学生营养日宣传、全民健康生活方式、世界精神卫生日等主题卫生日的宣教活动。同时按要求安排各卫生院、社区卫生服务中心开展了相关主题宣传，已更换11期40余版内容不一的宣传栏，内容包括新冠肺炎防治、控烟、三减三健、传染病防控等知识，多方面、多方位的向广大市民宣传健康知识。讲座：协助或参与部分单位/协会开展健康知识宣讲，内容包括合理膳食、传染病防治、新冠肺炎防控知识等，共开展讲座5期，参与人员300余人次</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（四）结核病防治工作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 xml:space="preserve">2022年度共管理新发结核病患者208例，规范管理率为95.95%、规则服药率为99%。非结防医疗机构网络报告疑似何结核病患者660例，追踪到位632例，到位率为95.6%。对112例新发涂阳患者的密切接触者进行结核病筛查，共224人次。对全市重点人群（包括65岁及以上老年人、糖尿病患者）进行结核病筛查，筛查率为97%。对全市秋季入学新生进行结核病筛查17810人次。完成结核病宣传日工作，发放宣传单60000余份、主题海报500余张、宣传画册及折页20000余张，利用电视、微信公众号等媒体宣传1次。                                                                      对基层防痨人员组织开展业务培训3次，接受培训人员数130余人次，切实提高了基层人员业务能力。                              共处置学校散发结核病疫情6例，对192人次密切接触者进行了结核病筛查，无新增病例。  </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（五）艾滋病防治工作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坚持以“减少新发艾滋病感染、降低死亡率和提高艾滋病人生存质量”为目标，全面落实宣传教育、行为干预、病人治疗管理，积极开展艾滋病防治工作。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eastAsia="仿宋_GB2312"/>
          <w:kern w:val="0"/>
          <w:sz w:val="32"/>
          <w:szCs w:val="32"/>
          <w:lang w:eastAsia="zh-CN"/>
        </w:rPr>
      </w:pPr>
      <w:r>
        <w:rPr>
          <w:rFonts w:hint="eastAsia" w:eastAsia="仿宋_GB2312"/>
          <w:kern w:val="0"/>
          <w:sz w:val="32"/>
          <w:szCs w:val="32"/>
          <w:lang w:eastAsia="zh-CN"/>
        </w:rPr>
        <w:t xml:space="preserve">（六）开展卫生监测体检和职业病防治工作                   </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开展食品、药品及公共场所从业人员健康体检培训工作，完成从业人员体检10600人次；采集231份城乡饮用水水质样品检测，合格182份，合格率78.8％，不合格49份（30份水样微生物指标超标，19份水样消毒指标不合格），采集市自来水公司水样24份检测，合格率100%；开展食品安全风险监测，采集食品样85份进行检测，开展食源性疾病监测，完成50例食源性疾病监测病例上报和审核。</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val="en-US" w:eastAsia="zh-CN"/>
        </w:rPr>
        <w:t>1、</w:t>
      </w:r>
      <w:r>
        <w:rPr>
          <w:rFonts w:hint="eastAsia" w:eastAsia="仿宋_GB2312"/>
          <w:kern w:val="0"/>
          <w:sz w:val="32"/>
          <w:szCs w:val="32"/>
          <w:lang w:eastAsia="zh-CN"/>
        </w:rPr>
        <w:t>疾病控制工作繁重、繁琐，无论是日常的预防接种，还是接种证查验、查漏补种，以及规范门诊信息化建设、系统维护、冷链设备使用、维护等工作都需要投入大量人力、物力。财政安排的工作经费与实际需要仍有较大差距，需财政加大投入。</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val="en-US" w:eastAsia="zh-CN"/>
        </w:rPr>
        <w:t>2、</w:t>
      </w:r>
      <w:r>
        <w:rPr>
          <w:rFonts w:hint="eastAsia" w:eastAsia="仿宋_GB2312"/>
          <w:kern w:val="0"/>
          <w:sz w:val="32"/>
          <w:szCs w:val="32"/>
          <w:lang w:eastAsia="zh-CN"/>
        </w:rPr>
        <w:t>随着社会发展，流动儿童日益增加，流动儿童预防接种工作成了工作难点，流动儿童管理难度大，接种率难以提高，存在部分免疫空白。</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val="en-US" w:eastAsia="zh-CN"/>
        </w:rPr>
        <w:t>3、</w:t>
      </w:r>
      <w:r>
        <w:rPr>
          <w:rFonts w:hint="eastAsia" w:eastAsia="仿宋_GB2312"/>
          <w:kern w:val="0"/>
          <w:sz w:val="32"/>
          <w:szCs w:val="32"/>
          <w:lang w:eastAsia="zh-CN"/>
        </w:rPr>
        <w:t>各接种门诊人员相对较少，特别是专业人员缺乏，加之人员更换频繁，接种质量难以保障，存在较大安全隐患。</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val="en-US" w:eastAsia="zh-CN"/>
        </w:rPr>
        <w:t>4、</w:t>
      </w:r>
      <w:r>
        <w:rPr>
          <w:rFonts w:hint="eastAsia" w:eastAsia="仿宋_GB2312"/>
          <w:kern w:val="0"/>
          <w:sz w:val="32"/>
          <w:szCs w:val="32"/>
          <w:lang w:eastAsia="zh-CN"/>
        </w:rPr>
        <w:t>对预算管理的认识不够，对预算政策和知识掌握不全面，编制部门预算不够精细，没有充分考虑中心收入及专项资金的不确定性。</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val="en-US" w:eastAsia="zh-CN"/>
        </w:rPr>
        <w:t>1、</w:t>
      </w:r>
      <w:r>
        <w:rPr>
          <w:rFonts w:hint="eastAsia" w:eastAsia="仿宋_GB2312"/>
          <w:kern w:val="0"/>
          <w:sz w:val="32"/>
          <w:szCs w:val="32"/>
          <w:lang w:eastAsia="zh-CN"/>
        </w:rPr>
        <w:t>加强部门协作，严把接种证查验关。</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val="en-US" w:eastAsia="zh-CN"/>
        </w:rPr>
        <w:t>2、</w:t>
      </w:r>
      <w:r>
        <w:rPr>
          <w:rFonts w:hint="eastAsia" w:eastAsia="仿宋_GB2312"/>
          <w:kern w:val="0"/>
          <w:sz w:val="32"/>
          <w:szCs w:val="32"/>
          <w:lang w:eastAsia="zh-CN"/>
        </w:rPr>
        <w:t>加大宣传力度，提高群众预防接种意识，争取群众配合。</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val="en-US" w:eastAsia="zh-CN"/>
        </w:rPr>
        <w:t>3、</w:t>
      </w:r>
      <w:r>
        <w:rPr>
          <w:rFonts w:hint="eastAsia" w:eastAsia="仿宋_GB2312"/>
          <w:kern w:val="0"/>
          <w:sz w:val="32"/>
          <w:szCs w:val="32"/>
          <w:lang w:eastAsia="zh-CN"/>
        </w:rPr>
        <w:t>利用信息化系统平台，展开儿童家长健康教育，做好预防接种相关知识宣传。</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val="en-US" w:eastAsia="zh-CN"/>
        </w:rPr>
        <w:t>4、</w:t>
      </w:r>
      <w:r>
        <w:rPr>
          <w:rFonts w:hint="eastAsia" w:eastAsia="仿宋_GB2312"/>
          <w:kern w:val="0"/>
          <w:sz w:val="32"/>
          <w:szCs w:val="32"/>
          <w:lang w:eastAsia="zh-CN"/>
        </w:rPr>
        <w:t>加强人员培训，坚持“先培训、后考核、合格再上岗”的原则，尽量避免接种差错事故。</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val="en-US" w:eastAsia="zh-CN"/>
        </w:rPr>
        <w:t>5、</w:t>
      </w:r>
      <w:r>
        <w:rPr>
          <w:rFonts w:hint="eastAsia" w:eastAsia="仿宋_GB2312"/>
          <w:kern w:val="0"/>
          <w:sz w:val="32"/>
          <w:szCs w:val="32"/>
          <w:lang w:eastAsia="zh-CN"/>
        </w:rPr>
        <w:t>争取政策支持，加强人才引进。</w:t>
      </w:r>
    </w:p>
    <w:p>
      <w:pPr>
        <w:spacing w:line="600" w:lineRule="exact"/>
        <w:ind w:firstLine="640" w:firstLineChars="200"/>
        <w:jc w:val="both"/>
        <w:rPr>
          <w:rFonts w:hint="eastAsia" w:ascii="方正黑体_GBK" w:eastAsia="方正黑体_GBK"/>
          <w:kern w:val="0"/>
          <w:sz w:val="32"/>
          <w:szCs w:val="32"/>
          <w:lang w:eastAsia="zh-CN"/>
        </w:rPr>
      </w:pPr>
      <w:r>
        <w:rPr>
          <w:rFonts w:hint="eastAsia" w:eastAsia="仿宋_GB2312"/>
          <w:kern w:val="0"/>
          <w:sz w:val="32"/>
          <w:szCs w:val="32"/>
          <w:lang w:val="en-US" w:eastAsia="zh-CN"/>
        </w:rPr>
        <w:t>6、</w:t>
      </w:r>
      <w:r>
        <w:rPr>
          <w:rFonts w:hint="eastAsia" w:eastAsia="仿宋_GB2312"/>
          <w:kern w:val="0"/>
          <w:sz w:val="32"/>
          <w:szCs w:val="32"/>
          <w:lang w:eastAsia="zh-CN"/>
        </w:rPr>
        <w:t>进一步加强《中华人民共和国预算法》的学习，结合单位实际情况，搞好部门预算，合理有效地管理使用资金，客观全面地做好整体支出绩效评价工作。</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pPr>
        <w:spacing w:line="600" w:lineRule="exact"/>
        <w:ind w:firstLine="572" w:firstLineChars="200"/>
        <w:jc w:val="both"/>
        <w:rPr>
          <w:rFonts w:hint="eastAsia" w:ascii="方正黑体_GBK" w:eastAsia="方正黑体_GBK"/>
          <w:kern w:val="0"/>
          <w:sz w:val="32"/>
          <w:szCs w:val="32"/>
          <w:lang w:eastAsia="zh-CN"/>
        </w:rPr>
      </w:pPr>
      <w:r>
        <w:rPr>
          <w:rFonts w:hint="eastAsia" w:ascii="仿宋" w:hAnsi="仿宋" w:eastAsia="仿宋" w:cs="仿宋"/>
          <w:snapToGrid w:val="0"/>
          <w:color w:val="000000"/>
          <w:spacing w:val="-17"/>
          <w:kern w:val="0"/>
          <w:sz w:val="32"/>
          <w:szCs w:val="32"/>
          <w:lang w:val="en-US" w:eastAsia="zh-CN" w:bidi="ar-SA"/>
        </w:rPr>
        <w:t>通过此次绩效自评，自评结果拟应用于中心各项收入的收支管理中，并将绩效自评结果按要求及时公开。</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十、其他需要说明的情况</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无。</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jc w:val="both"/>
        <w:rPr>
          <w:rFonts w:hint="eastAsia" w:eastAsia="仿宋_GB2312"/>
          <w:kern w:val="0"/>
          <w:sz w:val="32"/>
          <w:szCs w:val="32"/>
          <w:lang w:eastAsia="zh-CN"/>
        </w:rPr>
      </w:pP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pPr>
        <w:spacing w:line="600" w:lineRule="exact"/>
        <w:ind w:firstLine="640" w:firstLineChars="200"/>
        <w:jc w:val="both"/>
        <w:rPr>
          <w:rFonts w:hint="eastAsia" w:eastAsia="仿宋_GB2312"/>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line="267" w:lineRule="auto"/>
        <w:jc w:val="both"/>
        <w:rPr>
          <w:rFonts w:hint="eastAsia" w:ascii="宋体" w:hAnsi="宋体" w:eastAsia="宋体" w:cs="宋体"/>
          <w:bCs/>
          <w:spacing w:val="-4"/>
          <w:kern w:val="0"/>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201" w:line="578" w:lineRule="exact"/>
        <w:ind w:left="0"/>
        <w:jc w:val="center"/>
        <w:textAlignment w:val="baseline"/>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计划免疫经费(含二类疫苗补助)</w:t>
      </w:r>
      <w:r>
        <w:rPr>
          <w:rFonts w:ascii="黑体" w:hAnsi="黑体" w:eastAsia="黑体" w:cs="黑体"/>
          <w:spacing w:val="15"/>
          <w:position w:val="10"/>
          <w:sz w:val="42"/>
          <w:szCs w:val="42"/>
        </w:rPr>
        <w:t>项目</w:t>
      </w:r>
      <w:r>
        <w:rPr>
          <w:rFonts w:ascii="黑体" w:hAnsi="黑体" w:eastAsia="黑体" w:cs="黑体"/>
          <w:spacing w:val="10"/>
          <w:sz w:val="42"/>
          <w:szCs w:val="42"/>
        </w:rPr>
        <w:t>支出绩效自评报告</w:t>
      </w:r>
    </w:p>
    <w:p>
      <w:pPr>
        <w:spacing w:line="246" w:lineRule="auto"/>
        <w:jc w:val="center"/>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firstLine="226" w:firstLineChars="100"/>
        <w:jc w:val="center"/>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rFonts w:hint="eastAsia"/>
          <w:spacing w:val="-22"/>
          <w:sz w:val="27"/>
          <w:szCs w:val="27"/>
          <w:u w:val="single" w:color="auto"/>
          <w:lang w:eastAsia="zh-CN"/>
        </w:rPr>
        <w:t>汨罗市疾病预防控制中心</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p>
    <w:p>
      <w:pPr>
        <w:pStyle w:val="2"/>
        <w:spacing w:before="289" w:line="610" w:lineRule="exact"/>
        <w:ind w:left="3490"/>
        <w:rPr>
          <w:sz w:val="27"/>
          <w:szCs w:val="27"/>
        </w:rPr>
      </w:pPr>
      <w:r>
        <w:rPr>
          <w:rFonts w:hint="eastAsia"/>
          <w:spacing w:val="-13"/>
          <w:position w:val="26"/>
          <w:sz w:val="27"/>
          <w:szCs w:val="27"/>
          <w:lang w:val="en-US" w:eastAsia="zh-CN"/>
        </w:rPr>
        <w:t>2023</w:t>
      </w:r>
      <w:r>
        <w:rPr>
          <w:spacing w:val="-13"/>
          <w:position w:val="26"/>
          <w:sz w:val="27"/>
          <w:szCs w:val="27"/>
        </w:rPr>
        <w:t>年</w:t>
      </w:r>
      <w:r>
        <w:rPr>
          <w:rFonts w:hint="eastAsia"/>
          <w:spacing w:val="-13"/>
          <w:position w:val="26"/>
          <w:sz w:val="27"/>
          <w:szCs w:val="27"/>
          <w:lang w:val="en-US" w:eastAsia="zh-CN"/>
        </w:rPr>
        <w:t>06</w:t>
      </w:r>
      <w:r>
        <w:rPr>
          <w:spacing w:val="-13"/>
          <w:position w:val="26"/>
          <w:sz w:val="27"/>
          <w:szCs w:val="27"/>
        </w:rPr>
        <w:t>月</w:t>
      </w:r>
      <w:r>
        <w:rPr>
          <w:rFonts w:hint="eastAsia"/>
          <w:spacing w:val="-13"/>
          <w:position w:val="26"/>
          <w:sz w:val="27"/>
          <w:szCs w:val="27"/>
          <w:lang w:val="en-US" w:eastAsia="zh-CN"/>
        </w:rPr>
        <w:t>18</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8" w:type="default"/>
          <w:pgSz w:w="11900" w:h="16820"/>
          <w:pgMar w:top="1429" w:right="1723" w:bottom="1158" w:left="1395" w:header="0" w:footer="850" w:gutter="0"/>
          <w:cols w:space="720" w:num="1"/>
        </w:sectPr>
      </w:pPr>
    </w:p>
    <w:p>
      <w:pPr>
        <w:spacing w:before="137" w:line="221" w:lineRule="auto"/>
        <w:ind w:left="2336"/>
        <w:rPr>
          <w:rFonts w:ascii="黑体" w:hAnsi="黑体" w:eastAsia="黑体" w:cs="黑体"/>
          <w:b/>
          <w:bCs/>
          <w:spacing w:val="6"/>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(一)项目支出概况。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汨罗市计划免疫项目是由市人民政府主导，市卫健局及疾控中心及各乡镇卫生院（社区卫生服务中心）负责执行，为全市0-6岁儿童全程、规范接种疫苗的一项重要工作。业务范围：全市0-6岁儿童预防接种规范接种及管理，适龄儿童查漏补种、入托入学儿童接种证查验、疫苗冷链运输及保存，冷链设备维护、预防接种门诊管理、监督、AEFI病例报告、监测及处置、疫苗相关传染病监测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(二)项目资金使用管理情况。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1、项目资金到位情况分析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资金到账30万，资金到位率100%，及时全额转入计划免疫项目财政账户。</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2、项目资金使用情况分析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计划免疫项目资金到位后，市疾控中心严格按照中央、省、县（市）规定的项目和标准使用资金，不存在虚列项目支出、超标准开支的情况，不存在截留、挤占、挪用项目资金现象，做到了专款专用。2022年，当年项目资金使用率达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3、项目资金管理情况分析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计划免疫项目资金由市卫健局及疾控中心进行管理，实行财政专户管理制度。根据国家有关法规和制度，严格按照中央、省、县（市）规定的项目和标准，按照公开、公平、公正的原则进行管理和使用，做到钱随事走、专款专用。</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exact"/>
        <w:ind w:left="0" w:firstLine="610" w:firstLineChars="200"/>
        <w:textAlignment w:val="baseline"/>
        <w:outlineLvl w:val="1"/>
        <w:rPr>
          <w:rFonts w:hint="eastAsia" w:ascii="黑体" w:hAnsi="黑体" w:eastAsia="黑体" w:cs="黑体"/>
          <w:b/>
          <w:bCs/>
          <w:spacing w:val="-3"/>
          <w:position w:val="20"/>
          <w:sz w:val="30"/>
          <w:szCs w:val="30"/>
          <w:lang w:eastAsia="zh-CN"/>
        </w:rPr>
      </w:pPr>
      <w:r>
        <w:rPr>
          <w:rFonts w:hint="eastAsia" w:ascii="黑体" w:hAnsi="黑体" w:eastAsia="黑体" w:cs="黑体"/>
          <w:b/>
          <w:bCs/>
          <w:snapToGrid w:val="0"/>
          <w:color w:val="000000"/>
          <w:spacing w:val="2"/>
          <w:kern w:val="0"/>
          <w:sz w:val="30"/>
          <w:szCs w:val="30"/>
          <w:lang w:val="en-US" w:eastAsia="zh-CN" w:bidi="ar-SA"/>
        </w:rPr>
        <w:t>（三）项目支出绩效目标完成程度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完成率100%。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1、汨罗市卫健局及疾控中心对计划免疫项目资金的支付、管理、监督检查和核算做了明确规定，进一步完善资金管理制度，规范了资金财务管理和会计管理行为。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2.严格按照上级要求，加强了计划免疫工作督查和指导，规范了各计划免疫门诊建设，加强了接种人员培训，强化了各项资料收集和整理。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3.强化了AEFI及疫苗相关传染病的报告、处置。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4.强化接种证查验和查漏补种工作，切实提高适龄儿童及时接种率和全程接种率。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本次绩效评价主要包括项目绩效目标设置的合理性、财政资金分配合理性、资金使用合规性、为加强管理所制定的相关制度、制度执行情况、采取的措施、绩效目标实现程度以及所产生的社会、经济效益等。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通过绩效评价旨在督促相关单位进一步规范完善项目资金的使用和管理，并考核项目在一定期限内达到的产出与效益，为今后提高专项资金使用的财政绩效提供借鉴。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（一）</w:t>
      </w:r>
      <w:r>
        <w:rPr>
          <w:rFonts w:hint="eastAsia" w:eastAsia="仿宋_GB2312"/>
          <w:kern w:val="0"/>
          <w:sz w:val="32"/>
          <w:szCs w:val="32"/>
          <w:lang w:eastAsia="zh-CN"/>
        </w:rPr>
        <w:t>项目支出决策情况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项目资金使用30万元，全部用于计划免疫项目支出，预算执行率100%，及时全额转入计划免疫项目财政账户。</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（二）</w:t>
      </w:r>
      <w:r>
        <w:rPr>
          <w:rFonts w:hint="eastAsia" w:eastAsia="仿宋_GB2312"/>
          <w:kern w:val="0"/>
          <w:sz w:val="32"/>
          <w:szCs w:val="32"/>
          <w:lang w:eastAsia="zh-CN"/>
        </w:rPr>
        <w:t>项目执行过程情况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项目资金预算30万，使用30万元，预算执行率100%。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（三）</w:t>
      </w:r>
      <w:r>
        <w:rPr>
          <w:rFonts w:hint="eastAsia" w:eastAsia="仿宋_GB2312"/>
          <w:kern w:val="0"/>
          <w:sz w:val="32"/>
          <w:szCs w:val="32"/>
          <w:lang w:eastAsia="zh-CN"/>
        </w:rPr>
        <w:t>项目支出产出情况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1.实接种67410针次，绩效标准达到“优”；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2.完成冷链运转12次，绩效标准达到“优”；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3.33家预防接种门诊的72台冰箱维护、运转正常，疾控中心疫苗运输车1辆、冷库2座维护、运转正常，绩效标准达到“优”；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4.应完成基础免疫70884针次，实接种67410针次，接种率为95.09%；应完成加强免疫2158针次，实接种2038针次，接种率为94.44%。绩效标准达到“优”；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5.建卡率达到100%，绩效标准达到“优”；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6.建证率达到100%，绩效标准达到“优”；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7.疫苗储存，出库，途中运输到使用的环境温度都符合要求，绩效标准达到“优”；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8.全年完成接种单位督导3轮，指导、督促78次，绩效标准达到“优”。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val="en-US" w:eastAsia="zh-CN"/>
        </w:rPr>
        <w:t>（四）</w:t>
      </w:r>
      <w:r>
        <w:rPr>
          <w:rFonts w:hint="eastAsia" w:eastAsia="仿宋_GB2312"/>
          <w:kern w:val="0"/>
          <w:sz w:val="32"/>
          <w:szCs w:val="32"/>
          <w:lang w:eastAsia="zh-CN"/>
        </w:rPr>
        <w:t>项目支出效益情况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提高了我市目标儿童疫苗接种率，减少或控制疫苗针对疫苗疾病的发生。</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00" w:firstLineChars="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（一）主要经验及做法</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1、政府重视，设立专项经费为计划免疫工作的发展提供了有力的物质保障；</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2、不断建立健全各项制度，抓好制度落实，促进各项工作规范、有序开展；</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3、高起点规范各级计划免疫接种门诊建设，强化人员培训，严把接种质量关，有效杜绝各类预防接种事故发生；</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4、通过与有关部门合作，严格把关入托入学儿童接种证查验，切实提高接种率；</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5、全市33家门诊开通信息化系统建设，保证了每支疫苗去向明确，接种对象清楚何时接种疫苗。</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00" w:firstLineChars="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（二）存在问题</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计划免疫工作繁重、繁琐，无论是日常的预防接种，还是接种证查验、查漏补种，以及规范门诊信息化建设、系统维护、冷链设备使用、维护等工作都需要投入大量人力、物力。财政安排的工作经费与实际需要仍有较大差距，需财政加大投入。</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2、随着社会发展，流动儿童日益增加，流动儿童预防接种工作成了工作难点，流动儿童管理难度大，接种率难以提高，存在部分免疫空白。</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3、各接种门诊人员相对较少，特别是专业人员缺乏，加之人员更换频繁，接种质量难以保障，存在较大安全隐患。</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4、对预算管理的认识不够，对预算政策和知识掌握不全面，编制部门预算不够精细，没有充分考虑中心收入及专项资金的不确定性。</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六、有关建议</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1、加强部门协作，严把接种证查验关。</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2、加大宣传力度，提高群众预防接种意识，争取群众配合。</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3、利用信息化系统平台，展开儿童家长健康教育，做好预防接种相关知识宣传。</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4、加强人员培训，坚持“先培训、后考核、合格再上岗”的原则，尽量避免接种差错事故。</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5、争取政策支持，加强人才引进。</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6、进一步加强《中华人民共和国预算法》的学习，结合单位实际情况，搞好部门预算，合理有效地管理使用资金，客观全面地做好整体支出绩效评价工作。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七、其他需要说明的问题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r>
        <w:rPr>
          <w:rFonts w:hint="eastAsia" w:eastAsia="仿宋_GB2312" w:cs="Arial"/>
          <w:snapToGrid w:val="0"/>
          <w:color w:val="000000"/>
          <w:kern w:val="0"/>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cs="Arial"/>
          <w:snapToGrid w:val="0"/>
          <w:color w:val="000000"/>
          <w:kern w:val="0"/>
          <w:sz w:val="32"/>
          <w:szCs w:val="32"/>
          <w:lang w:val="en-US" w:eastAsia="zh-CN" w:bidi="ar-SA"/>
        </w:rPr>
      </w:pPr>
      <w:bookmarkStart w:id="0" w:name="_GoBack"/>
      <w:bookmarkEnd w:id="0"/>
    </w:p>
    <w:p>
      <w:pPr>
        <w:spacing w:line="267" w:lineRule="auto"/>
        <w:jc w:val="both"/>
        <w:rPr>
          <w:rFonts w:hint="eastAsia"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line="267" w:lineRule="auto"/>
        <w:ind w:firstLine="552"/>
        <w:jc w:val="both"/>
        <w:rPr>
          <w:rFonts w:hint="eastAsia" w:ascii="宋体" w:hAnsi="宋体" w:eastAsia="宋体" w:cs="宋体"/>
          <w:bCs/>
          <w:spacing w:val="-4"/>
          <w:kern w:val="0"/>
          <w:sz w:val="28"/>
          <w:szCs w:val="28"/>
          <w:lang w:val="en-US" w:eastAsia="zh-CN"/>
        </w:rPr>
      </w:pPr>
    </w:p>
    <w:p>
      <w:pPr>
        <w:spacing w:line="267" w:lineRule="auto"/>
        <w:jc w:val="both"/>
        <w:rPr>
          <w:rFonts w:hint="eastAsia" w:ascii="宋体" w:hAnsi="宋体" w:eastAsia="宋体" w:cs="宋体"/>
          <w:bCs/>
          <w:spacing w:val="-4"/>
          <w:kern w:val="0"/>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201" w:line="578" w:lineRule="exact"/>
        <w:ind w:left="0"/>
        <w:jc w:val="center"/>
        <w:textAlignment w:val="baseline"/>
        <w:rPr>
          <w:rFonts w:ascii="黑体" w:hAnsi="黑体" w:eastAsia="黑体" w:cs="黑体"/>
          <w:spacing w:val="10"/>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疫情防控</w:t>
      </w:r>
      <w:r>
        <w:rPr>
          <w:rFonts w:ascii="黑体" w:hAnsi="黑体" w:eastAsia="黑体" w:cs="黑体"/>
          <w:spacing w:val="15"/>
          <w:position w:val="10"/>
          <w:sz w:val="42"/>
          <w:szCs w:val="42"/>
        </w:rPr>
        <w:t>项目</w:t>
      </w:r>
      <w:r>
        <w:rPr>
          <w:rFonts w:ascii="黑体" w:hAnsi="黑体" w:eastAsia="黑体" w:cs="黑体"/>
          <w:spacing w:val="15"/>
          <w:position w:val="10"/>
          <w:sz w:val="42"/>
          <w:szCs w:val="42"/>
          <w:lang w:eastAsia="zh-CN"/>
        </w:rPr>
        <w:t>支出绩效</w:t>
      </w:r>
    </w:p>
    <w:p>
      <w:pPr>
        <w:keepNext w:val="0"/>
        <w:keepLines w:val="0"/>
        <w:pageBreakBefore w:val="0"/>
        <w:widowControl/>
        <w:kinsoku w:val="0"/>
        <w:wordWrap/>
        <w:overflowPunct/>
        <w:topLinePunct w:val="0"/>
        <w:autoSpaceDE w:val="0"/>
        <w:autoSpaceDN w:val="0"/>
        <w:bidi w:val="0"/>
        <w:adjustRightInd w:val="0"/>
        <w:snapToGrid w:val="0"/>
        <w:spacing w:before="201" w:line="578" w:lineRule="exact"/>
        <w:ind w:left="0"/>
        <w:jc w:val="center"/>
        <w:textAlignment w:val="baseline"/>
        <w:rPr>
          <w:rFonts w:ascii="黑体" w:hAnsi="黑体" w:eastAsia="黑体" w:cs="黑体"/>
          <w:sz w:val="42"/>
          <w:szCs w:val="42"/>
        </w:rPr>
      </w:pPr>
      <w:r>
        <w:rPr>
          <w:rFonts w:ascii="黑体" w:hAnsi="黑体" w:eastAsia="黑体" w:cs="黑体"/>
          <w:spacing w:val="10"/>
          <w:sz w:val="42"/>
          <w:szCs w:val="42"/>
        </w:rPr>
        <w:t>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firstLine="226" w:firstLineChars="100"/>
        <w:jc w:val="center"/>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rFonts w:hint="eastAsia"/>
          <w:spacing w:val="-22"/>
          <w:sz w:val="27"/>
          <w:szCs w:val="27"/>
          <w:u w:val="single" w:color="auto"/>
          <w:lang w:eastAsia="zh-CN"/>
        </w:rPr>
        <w:t>汨罗市疾病预防控制中心</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p>
    <w:p>
      <w:pPr>
        <w:pStyle w:val="2"/>
        <w:spacing w:before="289" w:line="610" w:lineRule="exact"/>
        <w:ind w:left="3490"/>
        <w:rPr>
          <w:sz w:val="27"/>
          <w:szCs w:val="27"/>
        </w:rPr>
      </w:pPr>
      <w:r>
        <w:rPr>
          <w:rFonts w:hint="eastAsia"/>
          <w:spacing w:val="-13"/>
          <w:position w:val="26"/>
          <w:sz w:val="27"/>
          <w:szCs w:val="27"/>
          <w:lang w:val="en-US" w:eastAsia="zh-CN"/>
        </w:rPr>
        <w:t>2023</w:t>
      </w:r>
      <w:r>
        <w:rPr>
          <w:spacing w:val="-13"/>
          <w:position w:val="26"/>
          <w:sz w:val="27"/>
          <w:szCs w:val="27"/>
        </w:rPr>
        <w:t>年</w:t>
      </w:r>
      <w:r>
        <w:rPr>
          <w:rFonts w:hint="eastAsia"/>
          <w:spacing w:val="-13"/>
          <w:position w:val="26"/>
          <w:sz w:val="27"/>
          <w:szCs w:val="27"/>
          <w:lang w:val="en-US" w:eastAsia="zh-CN"/>
        </w:rPr>
        <w:t>06</w:t>
      </w:r>
      <w:r>
        <w:rPr>
          <w:spacing w:val="-13"/>
          <w:position w:val="26"/>
          <w:sz w:val="27"/>
          <w:szCs w:val="27"/>
        </w:rPr>
        <w:t>月</w:t>
      </w:r>
      <w:r>
        <w:rPr>
          <w:rFonts w:hint="eastAsia"/>
          <w:spacing w:val="-13"/>
          <w:position w:val="26"/>
          <w:sz w:val="27"/>
          <w:szCs w:val="27"/>
          <w:lang w:val="en-US" w:eastAsia="zh-CN"/>
        </w:rPr>
        <w:t>18</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9" w:type="default"/>
          <w:pgSz w:w="11900" w:h="16820"/>
          <w:pgMar w:top="1429" w:right="1723" w:bottom="1158" w:left="1395" w:header="0" w:footer="850" w:gutter="0"/>
          <w:cols w:space="720" w:num="1"/>
        </w:sectPr>
      </w:pPr>
    </w:p>
    <w:p>
      <w:pPr>
        <w:spacing w:before="137" w:line="221" w:lineRule="auto"/>
        <w:ind w:left="2336"/>
        <w:rPr>
          <w:rFonts w:ascii="黑体" w:hAnsi="黑体" w:eastAsia="黑体" w:cs="黑体"/>
          <w:b/>
          <w:bCs/>
          <w:spacing w:val="6"/>
          <w:sz w:val="42"/>
          <w:szCs w:val="42"/>
        </w:rPr>
      </w:pPr>
      <w:r>
        <w:rPr>
          <w:rFonts w:ascii="黑体" w:hAnsi="黑体" w:eastAsia="黑体" w:cs="黑体"/>
          <w:b/>
          <w:bCs/>
          <w:spacing w:val="6"/>
          <w:sz w:val="42"/>
          <w:szCs w:val="42"/>
        </w:rPr>
        <w:t>项目支出绩效评价报告</w:t>
      </w:r>
    </w:p>
    <w:p>
      <w:pPr>
        <w:spacing w:before="137" w:line="221" w:lineRule="auto"/>
        <w:ind w:left="2336"/>
        <w:rPr>
          <w:rFonts w:ascii="黑体" w:hAnsi="黑体" w:eastAsia="黑体" w:cs="黑体"/>
          <w:b/>
          <w:bCs/>
          <w:spacing w:val="6"/>
          <w:sz w:val="42"/>
          <w:szCs w:val="4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(一)项目支出概况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 xml:space="preserve">依据《中华人民共和国传染病防治法》、《突发公共卫生事件应急条例》、《全国疾病预防控制机构工作规范》等法律、规范以及相关防控指南和监测方案的要求实施项目工作，关心爱护防治人员的职业安全和身心健康。加强传染病防治人员安全防护，维护防治人员健康权益，调动防治人员工作积极性，保障国家公共卫生安全。项目经费主要用于不明原因肺炎与人禽流感监测、卫生应急、新冠肺炎防控工作，包括不明原因肺炎与人禽流感患者的网络直报、个案调查、疫情处置及宣传、基层专干的培训，新冠肺炎培训，其他卫生应急处置等。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(二)项目资金使用管理情况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及时对辖区内报告的不明原因肺炎病例进行现场调查和监测病例采样，筛查可能人禽流感病例及其它传染性呼吸道疾病；严格实施对聚集性不明原因肺炎病例的密切接触者登记、追踪和医学观察等防控措施，负责病例标本的采集。及时报告并参与处置各类突发公共卫生事件。</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exact"/>
        <w:ind w:left="0" w:firstLine="610" w:firstLineChars="200"/>
        <w:textAlignment w:val="baseline"/>
        <w:outlineLvl w:val="1"/>
        <w:rPr>
          <w:rFonts w:hint="eastAsia" w:ascii="黑体" w:hAnsi="黑体" w:eastAsia="黑体" w:cs="黑体"/>
          <w:b/>
          <w:bCs/>
          <w:spacing w:val="-3"/>
          <w:position w:val="20"/>
          <w:sz w:val="30"/>
          <w:szCs w:val="30"/>
          <w:lang w:eastAsia="zh-CN"/>
        </w:rPr>
      </w:pPr>
      <w:r>
        <w:rPr>
          <w:rFonts w:hint="eastAsia" w:ascii="黑体" w:hAnsi="黑体" w:eastAsia="黑体" w:cs="黑体"/>
          <w:b/>
          <w:bCs/>
          <w:snapToGrid w:val="0"/>
          <w:color w:val="000000"/>
          <w:spacing w:val="2"/>
          <w:kern w:val="0"/>
          <w:sz w:val="30"/>
          <w:szCs w:val="30"/>
          <w:lang w:val="en-US" w:eastAsia="zh-CN" w:bidi="ar-SA"/>
        </w:rPr>
        <w:t>（三）项目支出绩效目标完成程度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136" w:firstLineChars="355"/>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完成率100%。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（一）绩效评价目的、对象和范围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发现人感染禽流感病例及时报告、处置，医学观察病例密切接触人员。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及时报告并参与处置各类突发公共卫生事件。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开展新冠肺炎防控相关工作等。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（二）绩效评价原则、评价指标体系（附表说明）、评价方法、评价标准等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（三）绩效评价工作过程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1、减少传染病暴发流行，降低因传染病就诊与住院医疗病人数及费用；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2、控制传染病暴发流行，保障社会和谐稳定；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黑体" w:hAnsi="黑体" w:eastAsia="黑体" w:cs="黑体"/>
          <w:b/>
          <w:bCs/>
          <w:spacing w:val="-15"/>
          <w:sz w:val="31"/>
          <w:szCs w:val="31"/>
        </w:rPr>
      </w:pPr>
      <w:r>
        <w:rPr>
          <w:rFonts w:hint="eastAsia" w:eastAsia="仿宋_GB2312"/>
          <w:kern w:val="0"/>
          <w:sz w:val="32"/>
          <w:szCs w:val="32"/>
          <w:lang w:val="en-US" w:eastAsia="en-US"/>
        </w:rPr>
        <w:t>3、通过消毒、通风等措施改变病原菌繁殖生长环境，抑制或消灭病原微生物。</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（一）项目决策情况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 xml:space="preserve">1、根据《中华人民共和国传染病防治法》、《突发公共卫生事件应急条例》及湖南省相关监测方案要求开展人禽流感病例调查处置及突发公共卫生事件报告处置。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 xml:space="preserve">2、对突发公共卫生事件及时、准确、全面处置。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3、开展新冠防控知识培训、流调、处置。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（二）项目过程情况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通过辖区各医疗单位报告、其他单位告知及日常信息系统巡察，及时发现相关人感染禽流感病例及突发公共卫生事件，从而开展卫生应急响应，对应急机动队员开展相关业务培训及病例调查、处置。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（三）项目产出情况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1、新冠疫情防控工作。一是保障重大社会活动疫情防控。参与制定了我市大型活动疫情防控方案，做到一活动一方案，指导并参与全市30起重大社会活动疫情防控（三级干部大会、端午系列活动、高考疫情防控、省运会、人大政协会议等），保护了人员的健康安全；二是严格开展流行病学调查，及时追踪管理密切接触者、次密切接触者。全年收到外地协查函3425份，发出协查函158份，均24小时内完成流行病学调查，第一时间上报并落实在汨密切接触者集中隔离与健康监测，解健康码2万余人次，完成了指挥部布置的电话核实中高风险地区返汨人员居家情况等工作；三是参与重大疫情防控。10月17日至10月30日，我市大荆镇发生聚集性疫情，省、市、县三级疫情防控指挥部第一时间启动应急预案，多部门协作下，疫情基本未外溢。本次疫情共报告病例20余例，判定密接1700余人，赋红码管理39212人，赋黄码管理146397人；四是冷链食品新冠病毒核酸监测。每周对辖区内集贸市场、超市、冷库以及海鲜加工经营门店、餐饮店等经营场所开展外环境新冠病毒核酸监测，共采集冷链食品、相关环境及从业人员样1650份，结果为阴性；五是新冠肺炎病原学监测。每月对医院门诊（住院）发热病人中抽取20份核酸标本检测，完成220份核酸标本检测，均为阴性；六是新冠疫苗接种快速推进。通过制定方案，宣传发动，设置门诊、医护培训、有序接种、医疗救治等环节，稳妥、有序、安全地推进了接种工作。全市全年接种新冠疫苗32.5万余针剂次，无严重异常反应报告，接种工作平稳顺利。</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2、传染病疫情报告管理及处置。审核传染病报告卡5817张，删除重报病例信息248张，处理预警124起；全市报告3起突发公共卫生事件，报告6起流感聚集性疫情、4起学校结核病疫情，均采取了有效的管控措施，无二代病例发生。4月26日，开展了“全国疟疾日”宣传专题活动,融媒体进行了推送报道。</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3、重点传染病的防治。全市共报告手足口病79例，无死亡与重症病例。采集30例手足口病样监测，5例为阳性。肠道传染病的监测，开展内外环境的疫源检索，完成内环境腹泻病人检测186人次，外环境水样30份，甲鱼样30份，其它水产品样30份，经查未检出霍乱弧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（四）项目效益情况。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1、减少传染病暴发流行，降低因传染病就诊与住院医疗病人数及费用；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2、控制传染病暴发流行，保障社会和谐稳定；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3、通过消毒、通风等措施改变病原菌繁殖生长环境，抑制或消灭病原微生物。</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（一）主要经验及做法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通过各单位协作、各医疗单位报告、系统巡察等方式，及时发现病例及突发事件，从而及早处置。通过培训提高工作人员业务能力。</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（二）存在的问题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 xml:space="preserve">1、各医疗机构工作人员更换频繁，可能存在报告不及时、协助处置不到位等情况。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 xml:space="preserve">2、卫生应急工作需投入大量人力、物力，工作经费与实际需要仍有较大的差距。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eastAsia="仿宋_GB2312"/>
          <w:kern w:val="0"/>
          <w:sz w:val="32"/>
          <w:szCs w:val="32"/>
          <w:lang w:val="en-US" w:eastAsia="zh-CN"/>
        </w:rPr>
        <w:t xml:space="preserve">3、群众的自己是健康的第一责任人意识不够，自我防护意识不够。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00" w:firstLineChars="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1、加强各单位合作，发现人疑似感染禽流感、疑似突发公共卫生事件能及时报告。</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00" w:firstLineChars="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2、加强宣传，增强群众自我防护意识，提高群众防治传染病能力，从而做好日常防护。</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00" w:firstLineChars="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3、合理、有效的使用项目资金，客观、全面做出整体支出、绩效评价工作。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七、其他需要说明的问题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r>
        <w:rPr>
          <w:rFonts w:hint="eastAsia" w:eastAsia="仿宋_GB2312" w:cs="Arial"/>
          <w:snapToGrid w:val="0"/>
          <w:color w:val="000000"/>
          <w:kern w:val="0"/>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sectPr>
      <w:footerReference r:id="rId10"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JmNGE5ODBmYjRiODc2YmE2MDMxZWIyN2Q2MGNjZTUifQ=="/>
  </w:docVars>
  <w:rsids>
    <w:rsidRoot w:val="00000000"/>
    <w:rsid w:val="01AF3811"/>
    <w:rsid w:val="01F558A7"/>
    <w:rsid w:val="034C7522"/>
    <w:rsid w:val="03522419"/>
    <w:rsid w:val="03795BF7"/>
    <w:rsid w:val="050F6456"/>
    <w:rsid w:val="070511C0"/>
    <w:rsid w:val="0862526C"/>
    <w:rsid w:val="086E756B"/>
    <w:rsid w:val="0ACF37E5"/>
    <w:rsid w:val="0B400BC6"/>
    <w:rsid w:val="0B7B1FE3"/>
    <w:rsid w:val="0E68228D"/>
    <w:rsid w:val="15276E52"/>
    <w:rsid w:val="18786026"/>
    <w:rsid w:val="19D32FBC"/>
    <w:rsid w:val="1E6A4395"/>
    <w:rsid w:val="20F14BC7"/>
    <w:rsid w:val="2149055F"/>
    <w:rsid w:val="25557A3D"/>
    <w:rsid w:val="26EA5ED7"/>
    <w:rsid w:val="27A93B82"/>
    <w:rsid w:val="2AE00186"/>
    <w:rsid w:val="308216BE"/>
    <w:rsid w:val="34FE1149"/>
    <w:rsid w:val="38E70267"/>
    <w:rsid w:val="393C6ED0"/>
    <w:rsid w:val="3A550786"/>
    <w:rsid w:val="3B337E5E"/>
    <w:rsid w:val="3B7A130F"/>
    <w:rsid w:val="4AF24DA1"/>
    <w:rsid w:val="4F8B6063"/>
    <w:rsid w:val="52FA3F96"/>
    <w:rsid w:val="55850F17"/>
    <w:rsid w:val="57AE6D93"/>
    <w:rsid w:val="5BC90A07"/>
    <w:rsid w:val="5C8C5BDB"/>
    <w:rsid w:val="5E655CD1"/>
    <w:rsid w:val="5F16521D"/>
    <w:rsid w:val="5FB623A7"/>
    <w:rsid w:val="62E96ED1"/>
    <w:rsid w:val="633F11E7"/>
    <w:rsid w:val="6605211A"/>
    <w:rsid w:val="66A03D4A"/>
    <w:rsid w:val="67114C48"/>
    <w:rsid w:val="6B361121"/>
    <w:rsid w:val="6D9B12A2"/>
    <w:rsid w:val="6E3851B0"/>
    <w:rsid w:val="6E625D89"/>
    <w:rsid w:val="72F71196"/>
    <w:rsid w:val="749649DF"/>
    <w:rsid w:val="7B26214B"/>
    <w:rsid w:val="7C7B2E38"/>
    <w:rsid w:val="7E0B045C"/>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6592</Words>
  <Characters>7234</Characters>
  <TotalTime>23</TotalTime>
  <ScaleCrop>false</ScaleCrop>
  <LinksUpToDate>false</LinksUpToDate>
  <CharactersWithSpaces>7478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与你无关</cp:lastModifiedBy>
  <cp:lastPrinted>2024-05-21T14:05:00Z</cp:lastPrinted>
  <dcterms:modified xsi:type="dcterms:W3CDTF">2024-07-25T09:46:48Z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2052-12.1.0.16929</vt:lpwstr>
  </property>
  <property fmtid="{D5CDD505-2E9C-101B-9397-08002B2CF9AE}" pid="6" name="ICV">
    <vt:lpwstr>FFE69CAA56D44D8FB76A889EA9EB97AE_13</vt:lpwstr>
  </property>
</Properties>
</file>