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11.25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eastAsia="仿宋_GB2312"/>
                <w:kern w:val="0"/>
                <w:lang w:eastAsia="zh-CN"/>
              </w:rPr>
            </w:pPr>
            <w:r>
              <w:rPr>
                <w:rFonts w:hint="eastAsia" w:ascii="仿宋_GB2312" w:hAnsi="宋体" w:eastAsia="仿宋_GB2312" w:cs="宋体"/>
                <w:kern w:val="0"/>
              </w:rPr>
              <w:t>公务员及事业单位人员考试专项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老干福利费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rPr>
              <w:t>办公场所租赁</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15.39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spacing w:before="128" w:line="201"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经费管理：加强预算编制管理，将各项收入和支出全部纳入部门预算，严格控制经费支出总额，实行综合预算管理。</w:t>
            </w:r>
          </w:p>
          <w:p>
            <w:pPr>
              <w:spacing w:before="128" w:line="201"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公务接待：压减“三公”经费，加强公务接待管理，大力推进公务餐一件事改革，严禁同城接待，优先选择单位食堂作为接待场所，提倡“光盘行动”，坚决制止餐饮浪费行为。</w:t>
            </w:r>
          </w:p>
          <w:p>
            <w:pPr>
              <w:spacing w:before="128" w:line="201"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办公用品使用：压减办公经费，严格办公用品采购，除应急救灾、安全管理、正常报废更换等原因外，暂停通过财政拨款资金新增购置电脑、打印机等办公设备以及办公家具。节约用电，办公多用自然光，照明选用节能灯，按需开灯，人走灯灭。</w:t>
            </w:r>
          </w:p>
          <w:p>
            <w:pPr>
              <w:spacing w:before="128" w:line="201"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会议培训精简：加强会议培训计划管理，能不开的坚决不开，能合并的坚决合并；大力精简会议和培训，严格控制规模、人数和时间；会议培训无纸化，会场布置极简风，流程精简留重点。</w:t>
            </w:r>
          </w:p>
          <w:p>
            <w:pPr>
              <w:spacing w:before="128" w:line="201"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严控预算追加：强化预算执行刚性约束，严格按照人代会批准的预算执行，严禁单位擅自改变资金用途使用资金。</w:t>
            </w:r>
          </w:p>
          <w:p>
            <w:pPr>
              <w:spacing w:before="128" w:line="201" w:lineRule="auto"/>
              <w:ind w:firstLine="420"/>
              <w:jc w:val="center"/>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压减非重点、非刚性支出：从严从紧用好财政资金，压减非重点、非刚性支出，特别是低效无效、标准过高的支出和非必需的项目支出。</w:t>
            </w:r>
            <w:r>
              <w:rPr>
                <w:rFonts w:hint="eastAsia" w:ascii="仿宋_GB2312" w:hAnsi="宋体" w:eastAsia="仿宋_GB2312" w:cs="宋体"/>
                <w:kern w:val="0"/>
                <w:lang w:val="en-US" w:eastAsia="zh-CN"/>
              </w:rPr>
              <w:tab/>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 汨罗市人力资源和社会保障局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both"/>
              <w:rPr>
                <w:rFonts w:ascii="仿宋_GB2312" w:eastAsia="仿宋_GB2312"/>
                <w:kern w:val="0"/>
              </w:rPr>
            </w:pPr>
            <w:r>
              <w:rPr>
                <w:rFonts w:hint="eastAsia" w:ascii="仿宋_GB2312" w:eastAsia="仿宋_GB2312"/>
                <w:kern w:val="0"/>
              </w:rPr>
              <w:t>1175.02</w:t>
            </w:r>
          </w:p>
        </w:tc>
        <w:tc>
          <w:tcPr>
            <w:tcW w:w="1298" w:type="dxa"/>
            <w:vAlign w:val="center"/>
          </w:tcPr>
          <w:p>
            <w:pPr>
              <w:spacing w:line="240" w:lineRule="auto"/>
              <w:ind w:firstLine="420"/>
              <w:jc w:val="both"/>
              <w:rPr>
                <w:rFonts w:ascii="仿宋_GB2312" w:eastAsia="仿宋_GB2312"/>
                <w:kern w:val="0"/>
              </w:rPr>
            </w:pPr>
            <w:r>
              <w:rPr>
                <w:rFonts w:hint="eastAsia" w:ascii="仿宋_GB2312" w:eastAsia="仿宋_GB2312"/>
                <w:kern w:val="0"/>
              </w:rPr>
              <w:t>1175.02</w:t>
            </w:r>
          </w:p>
        </w:tc>
        <w:tc>
          <w:tcPr>
            <w:tcW w:w="1269" w:type="dxa"/>
            <w:vAlign w:val="center"/>
          </w:tcPr>
          <w:p>
            <w:pPr>
              <w:spacing w:line="240" w:lineRule="auto"/>
              <w:ind w:firstLine="420"/>
              <w:jc w:val="both"/>
              <w:rPr>
                <w:rFonts w:ascii="仿宋_GB2312" w:eastAsia="仿宋_GB2312"/>
                <w:kern w:val="0"/>
              </w:rPr>
            </w:pPr>
            <w:r>
              <w:rPr>
                <w:rFonts w:hint="eastAsia" w:ascii="仿宋_GB2312" w:eastAsia="仿宋_GB2312"/>
                <w:kern w:val="0"/>
              </w:rPr>
              <w:t>1175.02</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1175.02</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其中：基本支出：830.32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项目支出：344.7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1、夯实基础，在环境改善中优化服务，加快葱粉就业社区（村）的建设，加快人社信息化建设步伐；</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2、突出亮点，在争先创优中突出成绩，大力实施技能培训，全力扶持创业带动就业；</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3、兜住底线，在日常管理中促规范，健全更完善的社保体系，实施更有力的劳动维权；</w:t>
            </w:r>
          </w:p>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4、练好内功，在素质提升中树形象，加强党的建设，加强能力建设。</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圆满按时完成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事业单位公开招聘、选调、四海揽才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≥400人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处理农民工工资拖欠问题次数</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≥1800次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劳动保障监察案件结案率和拖欠农民工工资案件结案率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相关培训班培训合格率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≥85%</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已完成</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完成时间</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2023年全年</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促进经济发展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积极开展企业薪酬调查和信息发布 劳动者权益，促进企业发展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生态环境改善状况</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营造大众创业、万众创新氛围，激发 创业热潮</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受益对象满意度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公务员及事业单位人员考试经费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确保招聘考试圆满完成</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保障人事考试安全工作各项经费及时到位，维护考试公平公正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事业单位公开招聘计划人数</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聘用人员聘用合格率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聘用人员年度考核合格率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提供就业岗位数</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≥400人</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促进生态可持续发展；促进经济可持续发展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受益对象满意度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社会公众满意度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小于等于30万元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w:t>
      </w:r>
      <w:r>
        <w:rPr>
          <w:rFonts w:hint="eastAsia" w:ascii="仿宋_GB2312" w:hAnsi="宋体" w:eastAsia="仿宋_GB2312" w:cs="宋体"/>
          <w:snapToGrid w:val="0"/>
          <w:color w:val="000000"/>
          <w:sz w:val="21"/>
          <w:szCs w:val="21"/>
          <w:lang w:val="en-US" w:eastAsia="zh-CN" w:bidi="ar-SA"/>
        </w:rPr>
        <w:t>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劳动维权办案专项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保证劳动监察工作正常运行</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处理农民工工资拖欠问题</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≥1500次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年度执法案卷评查合格率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 ≥95%</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全年查处各类案件法定结案率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维护劳动关系和谐稳定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效益显著</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促进我市构建和谐稳定的劳动关系，进一步保障本市经济发展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劳动关系双方当事人满意度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r>
              <w:rPr>
                <w:rFonts w:hint="eastAsia" w:ascii="仿宋_GB2312" w:hAnsi="宋体" w:eastAsia="仿宋_GB2312" w:cs="宋体"/>
                <w:kern w:val="0"/>
              </w:rPr>
              <w:t>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小于等于</w:t>
            </w:r>
            <w:r>
              <w:rPr>
                <w:rFonts w:hint="eastAsia" w:ascii="仿宋_GB2312" w:hAnsi="宋体" w:eastAsia="仿宋_GB2312" w:cs="宋体"/>
                <w:kern w:val="0"/>
                <w:lang w:val="en-US" w:eastAsia="zh-CN"/>
              </w:rPr>
              <w:t>10</w:t>
            </w:r>
            <w:r>
              <w:rPr>
                <w:rFonts w:hint="eastAsia" w:ascii="仿宋_GB2312" w:hAnsi="宋体" w:eastAsia="仿宋_GB2312" w:cs="宋体"/>
                <w:kern w:val="0"/>
              </w:rPr>
              <w:t>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何克</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2024年6月28日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19330096678</w:t>
      </w:r>
      <w:r>
        <w:rPr>
          <w:rFonts w:ascii="仿宋_GB2312" w:hAnsi="宋体" w:eastAsia="仿宋_GB2312" w:cs="宋体"/>
          <w:snapToGrid w:val="0"/>
          <w:color w:val="000000"/>
          <w:sz w:val="21"/>
          <w:szCs w:val="21"/>
          <w:lang w:val="en-US" w:eastAsia="zh-CN" w:bidi="ar-SA"/>
        </w:rPr>
        <w:t xml:space="preserve">   单位负责人签</w:t>
      </w:r>
      <w:r>
        <w:rPr>
          <w:rFonts w:hint="eastAsia" w:ascii="仿宋_GB2312" w:hAnsi="宋体" w:eastAsia="仿宋_GB2312" w:cs="宋体"/>
          <w:snapToGrid w:val="0"/>
          <w:color w:val="000000"/>
          <w:sz w:val="21"/>
          <w:szCs w:val="21"/>
          <w:lang w:val="en-US" w:eastAsia="zh-CN" w:bidi="ar-SA"/>
        </w:rPr>
        <w:t>字</w:t>
      </w: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汨罗市人力资源和社会保障局</w:t>
      </w:r>
      <w:r>
        <w:rPr>
          <w:rFonts w:hint="eastAsia" w:ascii="方正小标宋简体" w:eastAsia="方正小标宋简体"/>
          <w:kern w:val="0"/>
          <w:sz w:val="44"/>
          <w:szCs w:val="44"/>
          <w:lang w:val="en-US" w:eastAsia="zh-CN"/>
        </w:rPr>
        <w:t xml:space="preserve">  </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b/>
          <w:bCs/>
          <w:color w:val="auto"/>
          <w:sz w:val="32"/>
          <w:szCs w:val="32"/>
          <w:highlight w:val="none"/>
          <w:u w:val="single"/>
          <w:lang w:eastAsia="zh-CN"/>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仿宋_GB2312" w:hAnsi="仿宋_GB2312" w:eastAsia="仿宋_GB2312"/>
          <w:b/>
          <w:bCs/>
          <w:color w:val="auto"/>
          <w:sz w:val="32"/>
          <w:szCs w:val="32"/>
          <w:highlight w:val="none"/>
          <w:u w:val="single"/>
          <w:lang w:eastAsia="zh-CN"/>
        </w:rPr>
        <w:t>汨罗市人力资源和社会保障局</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z w:val="32"/>
          <w:szCs w:val="32"/>
          <w:lang w:val="en-US" w:eastAsia="zh-CN" w:bidi="ar-SA"/>
        </w:rPr>
      </w:pP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 月</w:t>
      </w:r>
      <w:r>
        <w:rPr>
          <w:rFonts w:hint="eastAsia" w:ascii="楷体_GB2312" w:hAnsi="楷体" w:eastAsia="楷体_GB2312" w:cs="楷体"/>
          <w:spacing w:val="-13"/>
          <w:kern w:val="0"/>
          <w:sz w:val="32"/>
          <w:szCs w:val="32"/>
          <w:lang w:val="en-US" w:eastAsia="zh-CN"/>
        </w:rPr>
        <w:t xml:space="preserve"> </w:t>
      </w:r>
      <w:r>
        <w:rPr>
          <w:rFonts w:hint="eastAsia" w:ascii="楷体_GB2312" w:hAnsi="楷体" w:eastAsia="楷体_GB2312" w:cs="楷体"/>
          <w:b/>
          <w:bCs/>
          <w:spacing w:val="-13"/>
          <w:kern w:val="0"/>
          <w:sz w:val="32"/>
          <w:szCs w:val="32"/>
          <w:lang w:val="en-US" w:eastAsia="zh-CN"/>
        </w:rPr>
        <w:t>28</w:t>
      </w:r>
      <w:r>
        <w:rPr>
          <w:rFonts w:hint="eastAsia" w:ascii="楷体_GB2312" w:hAnsi="楷体" w:eastAsia="楷体_GB2312" w:cs="楷体"/>
          <w:spacing w:val="-13"/>
          <w:kern w:val="0"/>
          <w:sz w:val="32"/>
          <w:szCs w:val="32"/>
          <w:lang w:val="en-US"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jc w:val="both"/>
        <w:textAlignment w:val="baseline"/>
        <w:rPr>
          <w:rFonts w:ascii="仿宋" w:hAnsi="仿宋" w:eastAsia="仿宋" w:cs="仿宋"/>
          <w:b/>
          <w:bCs/>
          <w:snapToGrid w:val="0"/>
          <w:color w:val="000000"/>
          <w:spacing w:val="18"/>
          <w:sz w:val="30"/>
          <w:szCs w:val="30"/>
          <w:lang w:val="en-US" w:eastAsia="zh-CN" w:bidi="ar-SA"/>
        </w:rPr>
      </w:pPr>
    </w:p>
    <w:p>
      <w:pPr>
        <w:pStyle w:val="5"/>
        <w:jc w:val="left"/>
        <w:rPr>
          <w:rFonts w:asciiTheme="minorEastAsia" w:hAnsiTheme="minorEastAsia" w:eastAsiaTheme="minorEastAsia"/>
          <w:kern w:val="0"/>
          <w:lang w:eastAsia="zh-CN"/>
        </w:rPr>
      </w:pPr>
    </w:p>
    <w:p>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val="en-US" w:eastAsia="zh-CN"/>
        </w:rPr>
        <w:t xml:space="preserve">  </w:t>
      </w: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汨罗市人力资源和社会保障局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360"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人力资源和社会保障局主要职能为贯彻执行国家人力资源和社会保障方针政策和法律法规和省人力资源和社会保障事业发展规划、政策，起草市人力资源和社会保障地方性法规规章草案，并组织实施和监督检查。对全市人力资源和社会保障工作进行综合管理、监督指导、协调服务。拟定并组织实施全市人力资源市场发展规划和人力资源流动政策，指导全市建立统一规范的人力资源市场，促进人力资源合理流动、有效配置。会同有关部门拟定机关、事业单位人员工资收入分配政策并组织实施，建立机关企事业单位人员工资正常增长和支付保障机制，拟定国有企业经营者收入分配政策，配合相关部门审核纳入市财政统一发放工资范围的同级党政机关、事业单位及人员的工资、奖金、津补贴标准和离退休费，拟定机关企事业单位人员福利和离退休政策并组织实施。会同有关部门指导事业单位人事制度改革，拟定事业单位人员和机关工勤人员管理政策，参与人才管理工作，综合管理全市专业技术人员和专业技术队伍建设工作，综合管理全市专业技术人员和机关事业单位工勤人员的培训和继续教育工作。会同有关部门拟定农民工工作综合性政策和规划，推动农民工相关政策的落实，协调解决重点难点问题，维护农民工合法权益。统筹实施劳动、人事争议调解仲裁制度，拟定劳动关系政策，完善劳动关系协调机制，监督落实消除非法使用童工政策和女工、未成年工的特殊劳动保护政策，组织实施劳动监察，协调劳动者维权工作，依法查处重大案件。承办市人民政府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汨罗市人力资源和社会保障局2022年一般公共预算财政拨款支出1175.02万元，其中：基本支出830.32万元，其中人员经费682.85万元、日常公用经费147.48万元，项目支出344.7万元。</w:t>
      </w:r>
    </w:p>
    <w:p>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我单位严格执行预算管理制度，依据“谁用钱，谁负责”的原则，专款专用，实时监控</w:t>
      </w:r>
      <w:r>
        <w:rPr>
          <w:rFonts w:hint="eastAsia" w:ascii="仿宋_GB2312" w:hAnsi="仿宋_GB2312"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1、专项资金安排落实、总投入等情况分析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Times New Roman"/>
          <w:color w:val="auto"/>
          <w:sz w:val="32"/>
          <w:szCs w:val="32"/>
          <w:highlight w:val="none"/>
          <w:lang w:eastAsia="zh-CN"/>
        </w:rPr>
        <w:t>专项资金均已落实到位，按时按质合理使用完毕。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2、专项资金实际使用情况分析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项目资金严格按指定用途专款专用，实行专项报告制度，并接受财政部门或上级部门的检查、验收。202</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年项目支出基本能够严格按照相关制度规定等进行。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3、专项资金管理情况分析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1</w:t>
      </w:r>
      <w:r>
        <w:rPr>
          <w:rFonts w:hint="eastAsia" w:ascii="仿宋_GB2312" w:hAnsi="仿宋_GB2312" w:eastAsia="仿宋_GB2312" w:cs="Times New Roman"/>
          <w:color w:val="auto"/>
          <w:sz w:val="32"/>
          <w:szCs w:val="32"/>
          <w:highlight w:val="none"/>
          <w:lang w:eastAsia="zh-CN"/>
        </w:rPr>
        <w:t>）建章立制，积极推进专项资金管理制度化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我单位从专项资金设立、预算编制、分配方式、执行管理、监督评价等方面，对区级财政专项资金使用管理进行全面规范。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2</w:t>
      </w:r>
      <w:r>
        <w:rPr>
          <w:rFonts w:hint="eastAsia" w:ascii="仿宋_GB2312" w:hAnsi="仿宋_GB2312" w:eastAsia="仿宋_GB2312" w:cs="Times New Roman"/>
          <w:color w:val="auto"/>
          <w:sz w:val="32"/>
          <w:szCs w:val="32"/>
          <w:highlight w:val="none"/>
          <w:lang w:eastAsia="zh-CN"/>
        </w:rPr>
        <w:t>）建立体系，积极推进专项资金督查有序化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一是对各个专项资金的设立，严格项目申报、政策依据、项目评审，科学合理、因事编制。二是规范支出执行，实行专账核算、专款专用。三是强化监督管理，严把监督关。各部门各司其职，共同加强专项资金使用监督检查，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w:t>
      </w:r>
      <w:r>
        <w:rPr>
          <w:rFonts w:hint="eastAsia" w:ascii="仿宋_GB2312" w:hAnsi="仿宋_GB2312" w:eastAsia="仿宋_GB2312" w:cs="Times New Roman"/>
          <w:color w:val="auto"/>
          <w:sz w:val="32"/>
          <w:szCs w:val="32"/>
          <w:highlight w:val="none"/>
          <w:lang w:val="en-US" w:eastAsia="zh-CN"/>
        </w:rPr>
        <w:t>3</w:t>
      </w:r>
      <w:r>
        <w:rPr>
          <w:rFonts w:hint="eastAsia" w:ascii="仿宋_GB2312" w:hAnsi="仿宋_GB2312" w:eastAsia="仿宋_GB2312" w:cs="Times New Roman"/>
          <w:color w:val="auto"/>
          <w:sz w:val="32"/>
          <w:szCs w:val="32"/>
          <w:highlight w:val="none"/>
          <w:lang w:eastAsia="zh-CN"/>
        </w:rPr>
        <w:t>）公开信息，积极推进专项资金监督透明化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Times New Roman"/>
          <w:color w:val="auto"/>
          <w:sz w:val="32"/>
          <w:szCs w:val="32"/>
          <w:highlight w:val="none"/>
          <w:lang w:eastAsia="zh-CN"/>
        </w:rPr>
        <w:t>按照建立规范透明预算管理制度的要求，积极稳妥推进专项资金信息公开。</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4"/>
        <w:keepNext w:val="0"/>
        <w:keepLines w:val="0"/>
        <w:pageBreakBefore w:val="0"/>
        <w:kinsoku/>
        <w:wordWrap/>
        <w:overflowPunct/>
        <w:topLinePunct w:val="0"/>
        <w:autoSpaceDE/>
        <w:autoSpaceDN/>
        <w:bidi w:val="0"/>
        <w:adjustRightInd/>
        <w:spacing w:after="0" w:line="560" w:lineRule="exact"/>
        <w:ind w:left="0" w:leftChars="0" w:firstLine="668" w:firstLineChars="200"/>
        <w:textAlignment w:val="auto"/>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项目支出基本能够严格按照相关制度规定等进行。</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（1）项目推进力度有待进一步加强。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（2）政府采购年初预算与实际执行偏差大，政府采购预算编制准确性有待提高。</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强化预算执行，提高预算完成率。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（2）科学合理编制政府采购预算，强化政府采购预算执行，确保政府采购预算切合单位实际。</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（3）根据年初的绩效考核指标及预算绩效目标，扎实推进相关工作，确保考核指标及预算绩效目标按时、优质完成。</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bookmarkStart w:id="0" w:name="_GoBack"/>
      <w:bookmarkEnd w:id="0"/>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420" w:firstLineChars="100"/>
        <w:jc w:val="center"/>
        <w:rPr>
          <w:rFonts w:ascii="黑体" w:hAnsi="黑体" w:eastAsia="黑体" w:cs="黑体"/>
          <w:sz w:val="42"/>
          <w:szCs w:val="42"/>
        </w:rPr>
      </w:pPr>
      <w:r>
        <w:rPr>
          <w:rFonts w:hint="eastAsia" w:ascii="黑体" w:hAnsi="黑体" w:eastAsia="黑体" w:cs="黑体"/>
          <w:kern w:val="0"/>
          <w:sz w:val="42"/>
          <w:szCs w:val="42"/>
          <w:lang w:val="en-US" w:eastAsia="zh-CN"/>
        </w:rPr>
        <w:t>2022年度</w:t>
      </w:r>
      <w:r>
        <w:rPr>
          <w:rFonts w:hint="eastAsia" w:ascii="黑体" w:hAnsi="黑体" w:eastAsia="黑体" w:cs="黑体"/>
          <w:kern w:val="0"/>
          <w:sz w:val="42"/>
          <w:szCs w:val="42"/>
          <w:lang w:eastAsia="zh-CN"/>
        </w:rPr>
        <w:t>公务员及事业单位人员考试经费项目支出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6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28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该项目根据湘人社函[2014] 314号《关于加强人事考试管理有关问题的通知》文件而设立的事业单位人员招聘考试费用。保证人事考试安全工作各项经费及时到位，维护考试公平公正。</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保障人事考试安全工作各项经费及时到位，维护考试公平公正</w:t>
      </w:r>
      <w:r>
        <w:rPr>
          <w:rFonts w:hint="eastAsia" w:eastAsia="仿宋_GB2312"/>
          <w:kern w:val="0"/>
          <w:sz w:val="32"/>
          <w:szCs w:val="32"/>
          <w:lang w:val="en-US"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w:t>
      </w:r>
      <w:r>
        <w:rPr>
          <w:rFonts w:hint="eastAsia" w:eastAsia="仿宋_GB2312"/>
          <w:kern w:val="0"/>
          <w:sz w:val="32"/>
          <w:szCs w:val="32"/>
          <w:lang w:val="en-US" w:eastAsia="zh-CN"/>
        </w:rPr>
        <w:t>事业单位人员招聘考试</w:t>
      </w:r>
      <w:r>
        <w:rPr>
          <w:rFonts w:hint="eastAsia" w:ascii="仿宋_GB2312" w:hAnsi="仿宋_GB2312" w:eastAsia="仿宋_GB2312"/>
          <w:color w:val="auto"/>
          <w:sz w:val="32"/>
          <w:szCs w:val="32"/>
          <w:highlight w:val="none"/>
          <w:lang w:val="en-US" w:eastAsia="zh-CN"/>
        </w:rPr>
        <w:t>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确保本年度人事考试安全工作各项经费及时到位，维护考试公平公正。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w:t>
      </w:r>
      <w:r>
        <w:rPr>
          <w:rFonts w:hint="eastAsia" w:eastAsia="仿宋_GB2312"/>
          <w:kern w:val="0"/>
          <w:sz w:val="32"/>
          <w:szCs w:val="32"/>
          <w:lang w:val="en-US" w:eastAsia="zh-CN"/>
        </w:rPr>
        <w:t>事业单位人员招聘考试</w:t>
      </w:r>
      <w:r>
        <w:rPr>
          <w:rFonts w:hint="eastAsia" w:eastAsia="仿宋_GB2312"/>
          <w:kern w:val="0"/>
          <w:sz w:val="32"/>
          <w:szCs w:val="32"/>
          <w:lang w:eastAsia="zh-CN"/>
        </w:rPr>
        <w:t>工作正常运行，做到专款专用，合理安排项目资金。</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事业单位公开招聘人数按计划完成，聘用人员到岗率以及聘用人员年度考核合格率达到预期目标，时效在</w:t>
      </w:r>
      <w:r>
        <w:rPr>
          <w:rFonts w:hint="eastAsia" w:ascii="仿宋" w:hAnsi="仿宋" w:eastAsia="仿宋" w:cs="仿宋"/>
          <w:kern w:val="0"/>
          <w:sz w:val="32"/>
          <w:szCs w:val="32"/>
          <w:lang w:val="en-US" w:eastAsia="zh-CN"/>
        </w:rPr>
        <w:t>2022</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30</w:t>
      </w:r>
      <w:r>
        <w:rPr>
          <w:rFonts w:hint="eastAsia" w:eastAsia="仿宋_GB2312"/>
          <w:kern w:val="0"/>
          <w:sz w:val="32"/>
          <w:szCs w:val="32"/>
          <w:lang w:val="en-US" w:eastAsia="zh-CN"/>
        </w:rPr>
        <w:t>万元已完成。</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改善服务对象的办事体验达到预期目标，提供就业岗位数按计划完成，营造良好的人才引进和服务环境氛围，促进我城区的人才队伍建设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420" w:firstLineChars="100"/>
        <w:jc w:val="center"/>
        <w:rPr>
          <w:rFonts w:ascii="黑体" w:hAnsi="黑体" w:eastAsia="黑体" w:cs="黑体"/>
          <w:sz w:val="42"/>
          <w:szCs w:val="42"/>
        </w:rPr>
      </w:pPr>
      <w:r>
        <w:rPr>
          <w:rFonts w:hint="eastAsia" w:ascii="黑体" w:hAnsi="黑体" w:eastAsia="黑体" w:cs="黑体"/>
          <w:kern w:val="0"/>
          <w:sz w:val="42"/>
          <w:szCs w:val="42"/>
          <w:lang w:val="en-US" w:eastAsia="zh-CN"/>
        </w:rPr>
        <w:t>2022年度劳动维权办案专项</w:t>
      </w:r>
      <w:r>
        <w:rPr>
          <w:rFonts w:hint="eastAsia" w:ascii="黑体" w:hAnsi="黑体" w:eastAsia="黑体" w:cs="黑体"/>
          <w:kern w:val="0"/>
          <w:sz w:val="42"/>
          <w:szCs w:val="42"/>
          <w:lang w:eastAsia="zh-CN"/>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firstLine="1582" w:firstLineChars="700"/>
        <w:jc w:val="both"/>
        <w:rPr>
          <w:rFonts w:hint="eastAsia"/>
          <w:spacing w:val="-13"/>
          <w:position w:val="26"/>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eastAsia="zh-CN"/>
        </w:rPr>
        <w:t>汨罗市人力资源和社会保障局</w:t>
      </w:r>
    </w:p>
    <w:p>
      <w:pPr>
        <w:pStyle w:val="3"/>
        <w:spacing w:before="89" w:line="221" w:lineRule="auto"/>
        <w:ind w:left="2270"/>
        <w:rPr>
          <w:sz w:val="27"/>
          <w:szCs w:val="27"/>
        </w:rPr>
      </w:pPr>
    </w:p>
    <w:p>
      <w:pPr>
        <w:pStyle w:val="3"/>
        <w:spacing w:before="289" w:line="610" w:lineRule="exact"/>
        <w:ind w:firstLine="3172" w:firstLineChars="130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 xml:space="preserve">6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 xml:space="preserve">28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2"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该项目根据湘人社发[2012] 64号《关于印发&lt;湖南省加强劳动人事争议处理效能建设实施方案&gt;的通知》文件而设立的劳动监察、仲裁办案费用。加强农民工人文关怀，有力维护劳动关系和谐稳定和提高劳动人事争议调解仲裁的水平，保证劳动监察工作正常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为汨罗市人力资源和社会保障局，</w:t>
      </w:r>
      <w:r>
        <w:rPr>
          <w:rFonts w:hint="eastAsia" w:eastAsia="仿宋_GB2312"/>
          <w:kern w:val="0"/>
          <w:sz w:val="32"/>
          <w:szCs w:val="32"/>
          <w:lang w:val="en-US" w:eastAsia="en-US"/>
        </w:rPr>
        <w:t>项目资金和项目管理制度建设</w:t>
      </w:r>
      <w:r>
        <w:rPr>
          <w:rFonts w:hint="eastAsia" w:eastAsia="仿宋_GB2312"/>
          <w:kern w:val="0"/>
          <w:sz w:val="32"/>
          <w:szCs w:val="32"/>
          <w:lang w:val="en-US" w:eastAsia="zh-CN"/>
        </w:rPr>
        <w:t>完善</w:t>
      </w:r>
      <w:r>
        <w:rPr>
          <w:rFonts w:hint="eastAsia" w:eastAsia="仿宋_GB2312"/>
          <w:kern w:val="0"/>
          <w:sz w:val="32"/>
          <w:szCs w:val="32"/>
          <w:lang w:val="en-US" w:eastAsia="en-US"/>
        </w:rPr>
        <w:t>，项目资金投向结构合理，资金拨付及时性</w:t>
      </w:r>
      <w:r>
        <w:rPr>
          <w:rFonts w:hint="eastAsia" w:eastAsia="仿宋_GB2312"/>
          <w:kern w:val="0"/>
          <w:sz w:val="32"/>
          <w:szCs w:val="32"/>
          <w:lang w:val="en-US" w:eastAsia="zh-CN"/>
        </w:rPr>
        <w:t>较强</w:t>
      </w:r>
      <w:r>
        <w:rPr>
          <w:rFonts w:hint="eastAsia" w:eastAsia="仿宋_GB2312"/>
          <w:kern w:val="0"/>
          <w:sz w:val="32"/>
          <w:szCs w:val="32"/>
          <w:lang w:val="en-US" w:eastAsia="en-US"/>
        </w:rPr>
        <w:t>，项目立项、申报、评审、监督管理、验收等阶段组织实施</w:t>
      </w:r>
      <w:r>
        <w:rPr>
          <w:rFonts w:hint="eastAsia" w:eastAsia="仿宋_GB2312"/>
          <w:kern w:val="0"/>
          <w:sz w:val="32"/>
          <w:szCs w:val="32"/>
          <w:lang w:val="en-US" w:eastAsia="zh-CN"/>
        </w:rPr>
        <w:t>严格</w:t>
      </w:r>
      <w:r>
        <w:rPr>
          <w:rFonts w:hint="eastAsia" w:eastAsia="仿宋_GB2312"/>
          <w:kern w:val="0"/>
          <w:sz w:val="32"/>
          <w:szCs w:val="32"/>
          <w:lang w:val="en-US" w:eastAsia="en-US"/>
        </w:rPr>
        <w:t>合规</w:t>
      </w:r>
      <w:r>
        <w:rPr>
          <w:rFonts w:hint="eastAsia" w:eastAsia="仿宋_GB2312"/>
          <w:kern w:val="0"/>
          <w:sz w:val="32"/>
          <w:szCs w:val="32"/>
          <w:lang w:val="en-US" w:eastAsia="zh-CN"/>
        </w:rPr>
        <w:t>，</w:t>
      </w:r>
      <w:r>
        <w:rPr>
          <w:rFonts w:hint="eastAsia" w:eastAsia="仿宋_GB2312"/>
          <w:kern w:val="0"/>
          <w:sz w:val="32"/>
          <w:szCs w:val="32"/>
          <w:lang w:val="en-US" w:eastAsia="en-US"/>
        </w:rPr>
        <w:t>由同级财政予以保障，并</w:t>
      </w:r>
      <w:r>
        <w:rPr>
          <w:rFonts w:hint="eastAsia" w:eastAsia="仿宋_GB2312"/>
          <w:kern w:val="0"/>
          <w:sz w:val="32"/>
          <w:szCs w:val="32"/>
          <w:lang w:val="en-US" w:eastAsia="zh-CN"/>
        </w:rPr>
        <w:t>能够</w:t>
      </w:r>
      <w:r>
        <w:rPr>
          <w:rFonts w:hint="eastAsia" w:eastAsia="仿宋_GB2312"/>
          <w:kern w:val="0"/>
          <w:sz w:val="32"/>
          <w:szCs w:val="32"/>
          <w:lang w:val="en-US" w:eastAsia="en-US"/>
        </w:rPr>
        <w:t>做到专款专用。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Arial" w:hAnsi="Arial" w:eastAsia="仿宋_GB2312" w:cs="Arial"/>
          <w:snapToGrid w:val="0"/>
          <w:color w:val="000000"/>
          <w:kern w:val="0"/>
          <w:sz w:val="32"/>
          <w:szCs w:val="32"/>
          <w:lang w:val="en-US" w:eastAsia="zh-CN" w:bidi="ar-SA"/>
        </w:rPr>
        <w:t>绩效总目标和阶段性目标</w:t>
      </w:r>
      <w:r>
        <w:rPr>
          <w:rFonts w:hint="eastAsia" w:eastAsia="仿宋_GB2312" w:cs="Arial"/>
          <w:snapToGrid w:val="0"/>
          <w:color w:val="000000"/>
          <w:kern w:val="0"/>
          <w:sz w:val="32"/>
          <w:szCs w:val="32"/>
          <w:lang w:val="en-US" w:eastAsia="zh-CN" w:bidi="ar-SA"/>
        </w:rPr>
        <w:t>能够按时圆满完成</w:t>
      </w:r>
      <w:r>
        <w:rPr>
          <w:rFonts w:hint="eastAsia" w:ascii="Arial" w:hAnsi="Arial" w:eastAsia="仿宋_GB2312" w:cs="Arial"/>
          <w:snapToGrid w:val="0"/>
          <w:color w:val="000000"/>
          <w:kern w:val="0"/>
          <w:sz w:val="32"/>
          <w:szCs w:val="32"/>
          <w:lang w:val="en-US" w:eastAsia="zh-CN" w:bidi="ar-SA"/>
        </w:rPr>
        <w:t>，</w:t>
      </w:r>
      <w:r>
        <w:rPr>
          <w:rFonts w:hint="eastAsia" w:eastAsia="仿宋_GB2312"/>
          <w:kern w:val="0"/>
          <w:sz w:val="32"/>
          <w:szCs w:val="32"/>
          <w:lang w:val="en-US" w:eastAsia="zh-CN"/>
        </w:rPr>
        <w:t>有力维护劳动关系和谐稳定和提高劳动人事争议调解仲裁的水平，保证劳动监察工作正常运行。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黑体" w:hAnsi="黑体" w:eastAsia="黑体" w:cs="黑体"/>
          <w:b/>
          <w:bCs/>
          <w:spacing w:val="-15"/>
          <w:sz w:val="31"/>
          <w:szCs w:val="31"/>
        </w:rPr>
      </w:pPr>
      <w:r>
        <w:rPr>
          <w:rFonts w:hint="eastAsia" w:ascii="仿宋_GB2312" w:hAnsi="仿宋_GB2312" w:eastAsia="仿宋_GB2312"/>
          <w:color w:val="auto"/>
          <w:sz w:val="32"/>
          <w:szCs w:val="32"/>
          <w:highlight w:val="none"/>
          <w:lang w:val="en-US" w:eastAsia="zh-CN"/>
        </w:rPr>
        <w:t>为加强项目资金管理，规范项目资金管理行为，提高项目管理水平及项目资金使用效益，汨罗市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olor w:val="auto"/>
          <w:sz w:val="32"/>
          <w:szCs w:val="32"/>
          <w:highlight w:val="none"/>
          <w:lang w:val="en-US" w:eastAsia="zh-CN"/>
        </w:rPr>
        <w:t>制定了财务管理制度、项目资金管理制度、专项资金管理办法等，对项目管理职责、申报与组织实施、项目资金的管理、监督检查与验收等进行了规定，成立了工作领导小组、明确工作职责、确定责任单位、制定工作方案、项目实施细则、考核办法等。2022年劳动维权办案专项项目支出基本能够严格按照相关制度规定等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确保本年度劳动监察工作正常运行。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本单位项目支出决策根据实际情况制定实施方案，保证劳动监察工作正常运行，做到专款专用，合理安排项目资金。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本单位项目支出在执行过程中严格按照相关制度规定进行，按照实际情况支出，严禁挤占、挪用、虚列支出等情况发生。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数量、质量、时效、成本等四个方面，根据各自情况，设置相关指标内容，用于跟踪项目工作的开展。全市处理农民工工资拖欠问题次数及人数按计划完成，企业拖欠农民工工资足额发放比率与劳动人事争议调解成功率达到预期目标，时效在</w:t>
      </w:r>
      <w:r>
        <w:rPr>
          <w:rFonts w:hint="eastAsia" w:ascii="仿宋" w:hAnsi="仿宋" w:eastAsia="仿宋" w:cs="仿宋"/>
          <w:kern w:val="0"/>
          <w:sz w:val="32"/>
          <w:szCs w:val="32"/>
          <w:lang w:val="en-US" w:eastAsia="zh-CN"/>
        </w:rPr>
        <w:t>2022</w:t>
      </w:r>
      <w:r>
        <w:rPr>
          <w:rFonts w:hint="eastAsia" w:eastAsia="仿宋_GB2312"/>
          <w:kern w:val="0"/>
          <w:sz w:val="32"/>
          <w:szCs w:val="32"/>
          <w:lang w:val="en-US" w:eastAsia="zh-CN"/>
        </w:rPr>
        <w:t>年</w:t>
      </w:r>
      <w:r>
        <w:rPr>
          <w:rFonts w:hint="eastAsia" w:ascii="仿宋" w:hAnsi="仿宋" w:eastAsia="仿宋" w:cs="仿宋"/>
          <w:kern w:val="0"/>
          <w:sz w:val="32"/>
          <w:szCs w:val="32"/>
          <w:lang w:val="en-US" w:eastAsia="zh-CN"/>
        </w:rPr>
        <w:t>12</w:t>
      </w:r>
      <w:r>
        <w:rPr>
          <w:rFonts w:hint="eastAsia" w:eastAsia="仿宋_GB2312"/>
          <w:kern w:val="0"/>
          <w:sz w:val="32"/>
          <w:szCs w:val="32"/>
          <w:lang w:val="en-US" w:eastAsia="zh-CN"/>
        </w:rPr>
        <w:t>月</w:t>
      </w:r>
      <w:r>
        <w:rPr>
          <w:rFonts w:hint="eastAsia" w:ascii="仿宋" w:hAnsi="仿宋" w:eastAsia="仿宋" w:cs="仿宋"/>
          <w:kern w:val="0"/>
          <w:sz w:val="32"/>
          <w:szCs w:val="32"/>
          <w:lang w:val="en-US" w:eastAsia="zh-CN"/>
        </w:rPr>
        <w:t>31</w:t>
      </w:r>
      <w:r>
        <w:rPr>
          <w:rFonts w:hint="eastAsia" w:eastAsia="仿宋_GB2312"/>
          <w:kern w:val="0"/>
          <w:sz w:val="32"/>
          <w:szCs w:val="32"/>
          <w:lang w:val="en-US" w:eastAsia="zh-CN"/>
        </w:rPr>
        <w:t>日前完成，成本指标</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万元已完成。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本单位项目产出按照社会效益、生态效益、可持续影响、服务对象满意度等四个方面，根据各自情况，设置相关指标内容，用于跟踪项目工作的开展。全市企业劳动合同签订率达到预期目标，劳动监察仲裁办事效率和水平不断提升，劳动人事争议调解仲裁的水平提升效益显著，社会公众对相关工作的满意度较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80F8C"/>
    <w:multiLevelType w:val="singleLevel"/>
    <w:tmpl w:val="A4A80F8C"/>
    <w:lvl w:ilvl="0" w:tentative="0">
      <w:start w:val="1"/>
      <w:numFmt w:val="chineseCounting"/>
      <w:lvlText w:val="(%1)"/>
      <w:lvlJc w:val="left"/>
      <w:pPr>
        <w:tabs>
          <w:tab w:val="left" w:pos="312"/>
        </w:tabs>
      </w:pPr>
      <w:rPr>
        <w:rFonts w:hint="eastAsia"/>
      </w:rPr>
    </w:lvl>
  </w:abstractNum>
  <w:abstractNum w:abstractNumId="1">
    <w:nsid w:val="CACD13D2"/>
    <w:multiLevelType w:val="singleLevel"/>
    <w:tmpl w:val="CACD13D2"/>
    <w:lvl w:ilvl="0" w:tentative="0">
      <w:start w:val="6"/>
      <w:numFmt w:val="chineseCounting"/>
      <w:suff w:val="nothing"/>
      <w:lvlText w:val="%1、"/>
      <w:lvlJc w:val="left"/>
      <w:rPr>
        <w:rFonts w:hint="eastAsia"/>
      </w:rPr>
    </w:lvl>
  </w:abstractNum>
  <w:abstractNum w:abstractNumId="2">
    <w:nsid w:val="F18DE1F9"/>
    <w:multiLevelType w:val="singleLevel"/>
    <w:tmpl w:val="F18DE1F9"/>
    <w:lvl w:ilvl="0" w:tentative="0">
      <w:start w:val="2"/>
      <w:numFmt w:val="chineseCounting"/>
      <w:lvlText w:val="(%1)"/>
      <w:lvlJc w:val="left"/>
      <w:pPr>
        <w:tabs>
          <w:tab w:val="left" w:pos="312"/>
        </w:tabs>
      </w:pPr>
      <w:rPr>
        <w:rFonts w:hint="eastAsia"/>
      </w:rPr>
    </w:lvl>
  </w:abstractNum>
  <w:abstractNum w:abstractNumId="3">
    <w:nsid w:val="10358F6C"/>
    <w:multiLevelType w:val="singleLevel"/>
    <w:tmpl w:val="10358F6C"/>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2NjMyMGM5ZTJmZTIxNzQyMDBhMjA0MzgxY2RjMDYifQ=="/>
  </w:docVars>
  <w:rsids>
    <w:rsidRoot w:val="00000000"/>
    <w:rsid w:val="01AF3811"/>
    <w:rsid w:val="03795BF7"/>
    <w:rsid w:val="063E17E6"/>
    <w:rsid w:val="086E756B"/>
    <w:rsid w:val="08B1198F"/>
    <w:rsid w:val="0ACF37E5"/>
    <w:rsid w:val="0B400BC6"/>
    <w:rsid w:val="0E68228D"/>
    <w:rsid w:val="14F74BCE"/>
    <w:rsid w:val="15276E52"/>
    <w:rsid w:val="15C956F0"/>
    <w:rsid w:val="181D77F3"/>
    <w:rsid w:val="19D32FBC"/>
    <w:rsid w:val="1E6A4395"/>
    <w:rsid w:val="25557A3D"/>
    <w:rsid w:val="26EA5ED7"/>
    <w:rsid w:val="27A93B82"/>
    <w:rsid w:val="2AE00186"/>
    <w:rsid w:val="2B0133E3"/>
    <w:rsid w:val="2F9D4E10"/>
    <w:rsid w:val="308216BE"/>
    <w:rsid w:val="34FE1149"/>
    <w:rsid w:val="3A550786"/>
    <w:rsid w:val="3B7A130F"/>
    <w:rsid w:val="3E7E336B"/>
    <w:rsid w:val="41251DF1"/>
    <w:rsid w:val="44AE49FA"/>
    <w:rsid w:val="4C6542FD"/>
    <w:rsid w:val="4E5270BD"/>
    <w:rsid w:val="4F4F0B87"/>
    <w:rsid w:val="4F8B6063"/>
    <w:rsid w:val="4F964968"/>
    <w:rsid w:val="52FA3F96"/>
    <w:rsid w:val="54324CFF"/>
    <w:rsid w:val="54AE6CBC"/>
    <w:rsid w:val="55850F17"/>
    <w:rsid w:val="57AE6D93"/>
    <w:rsid w:val="5FB623A7"/>
    <w:rsid w:val="6E3851B0"/>
    <w:rsid w:val="7ED67756"/>
    <w:rsid w:val="B3F170A6"/>
    <w:rsid w:val="BCED19F9"/>
    <w:rsid w:val="F7378226"/>
    <w:rsid w:val="F7F9E77F"/>
    <w:rsid w:val="FFE3C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Body Text Indent 2"/>
    <w:basedOn w:val="1"/>
    <w:unhideWhenUsed/>
    <w:qFormat/>
    <w:uiPriority w:val="0"/>
    <w:pPr>
      <w:spacing w:after="120" w:line="480" w:lineRule="auto"/>
      <w:ind w:left="420" w:leftChars="200"/>
    </w:pPr>
  </w:style>
  <w:style w:type="paragraph" w:styleId="5">
    <w:name w:val="footer"/>
    <w:basedOn w:val="1"/>
    <w:next w:val="2"/>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styleId="11">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2199</Words>
  <Characters>2325</Characters>
  <TotalTime>3</TotalTime>
  <ScaleCrop>false</ScaleCrop>
  <LinksUpToDate>false</LinksUpToDate>
  <CharactersWithSpaces>2494</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kylin</cp:lastModifiedBy>
  <cp:lastPrinted>2024-05-22T06:05:00Z</cp:lastPrinted>
  <dcterms:modified xsi:type="dcterms:W3CDTF">2024-07-26T11:19:05Z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F8AFDC6FDBC24E438C09DFDFDFAA1DF1_13</vt:lpwstr>
  </property>
</Properties>
</file>