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992" w:firstLineChars="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2.07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2.07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工伤保险监督认定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28.03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13.70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0.23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2.00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0.30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6.28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5.69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严格遵守各项费用支出标准，在年度预算内开支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谢林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2024.06.26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15873015859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刘乐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汨罗市工伤保险服务中心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111.61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133.39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133.39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133.39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96.61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36.78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加强宣传力度，扩大参保覆盖面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；加强工伤预防工作力度，采用培训等多种方式；确保待遇按时足额拨付到位，保障受伤职工权益；加强医疗监管和事故调查力度，保障基金安全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基金整体运行良好。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参保人数完成度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43900人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45167人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新开工工程建设项目工伤保险参保率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90%以上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全部参加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待遇按时足额发放到位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按时完成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按时完成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2022年12月31日前完成各项任务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降低用人单位工伤负担，改善营商环境，助推社会经济进一步发展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稳步落实各项工伤政策，切实维护广大参保群众的合法权益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生态环境改善状况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可持续发展状况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社会公众满意度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≧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受众对象满意度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≧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预算批复金额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133.39万元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133.39万元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对社会发展可能造成的负面影响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谢林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2024.6.26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15873015859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刘乐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工伤保险服务中心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06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26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4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工伤保险服务中心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汨罗市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eastAsia="zh-CN"/>
        </w:rPr>
        <w:t>工伤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保险服务中心主要职能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1、负责全市工伤保险基金的管理使用；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2、承办全市用人单位工伤保险参保申报、审核、确定用人单位缴费费率档次和工伤保险基金的管理、兑付工作;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3、承办对工伤定点医疗机构、职业康复机构的协议签订及管理；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4、负责核实用人单位的工资总额，对用人单位参保情况进行检查并负责工伤调查、统计和信息管理；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5、负责参保职工因工负伤医疗期间的医疗跟踪管理工作，办理转诊、转院住院审批的有关手续；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6、承办工伤职工待遇审核、支付和工亡职工供养遗属的待遇项目审核、支付，为用人单位、工伤职工或其直系亲属提供咨询服务；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7、负责编制工伤保险基金的预决算，各类财务、统计报表及基础数据库管理，按时向上级经办机构上解工伤保险储备金；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8、负责开展工伤预防、安全生产宣传和业务培训工作；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9、协调工伤保险各部门关系，调解处理工伤保险纠纷；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10、承办上级主管部门交办的其他事项。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支出96.61万元，其中：人员经费92.23万元，主要用于人员工资及社保公积金缴纳等；日常公用经费4.38万元，主要用于日常办公开支。2022年市工伤保险服务中心一般公共预算财政拨款“三公”经费支出年初预算为1.6万元，决算支出为0.52万元。其中：公务接待费0.52万元，无因公出国费，无公务用车购置费，无公务用车运行维护费。公务用车保有量0辆。</w:t>
      </w:r>
    </w:p>
    <w:p>
      <w:pPr>
        <w:pStyle w:val="10"/>
        <w:numPr>
          <w:ilvl w:val="0"/>
          <w:numId w:val="1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1、专项资金安排落实、总投入等情况分析。2022年专项资金投入36.78万元，其中年初预算安排20万元，都已按时下拨到位。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2、专项资金实际使用情况分析。2022年专项资金支出为36.78万元，其中预算项目支出为20万元，专项资金是根据我市实际情况，严格按照审批程序在2022年12月31号前拨付到服务对象，主要用于工伤保险监督认定。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eastAsia="zh-CN"/>
        </w:rPr>
        <w:t>3、专项资金管理情况分析。本着专款专用的原则，严格执行项目资金批准的使用计划和项目批复内容，不擅自调项、扩项、缩项，不拆借、挪用、挤占。资金拨付动向按专项资金的要求执行。同时对专项资金的支付，严格执行财务制度，落实专项资金审核程序。我单位严格执行预算管理制度，依据“谁用钱，谁负责”的原则，专款专用，实时监控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10"/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68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eastAsia="zh-CN"/>
        </w:rPr>
        <w:t>无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68" w:firstLineChars="200"/>
        <w:textAlignment w:val="auto"/>
        <w:rPr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eastAsia="zh-CN"/>
        </w:rPr>
        <w:t>无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68" w:firstLineChars="200"/>
        <w:textAlignment w:val="auto"/>
        <w:rPr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本单位各项资金其主要用途是确保单位的正常运转，促进各项工作任务顺利完成。在人员经费支出、公共支出严格执行市委市政府的各项制度；在项目经费的使用上，在保证各项任务顺利完成的同时，严格落实厉行节约的原则；三公经费的使用严格控制在预算申报的范围内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2" w:firstLineChars="200"/>
        <w:textAlignment w:val="auto"/>
        <w:rPr>
          <w:rFonts w:hint="default" w:ascii="仿宋_GB2312" w:hAnsi="仿宋_GB2312" w:eastAsia="楷体_GB2312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楷体_GB2312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（一）存在的问题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预算编制有待更严格执行。预算编制与实际支出项目有的存在差异。固定资产管理水平有待进一步提高，固定资产管理有待进一步加强。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一是按照预算规定的项目和用途严格财务审核，经费支出严格按照预算规定项目的财务支出内容进行财务核算，在预算金额内严格控制费用的支出。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二是严格控制“三公经费”支出，杜绝挪用和挤占其他预算资金，进一步细化三公经费管理，压缩三公经费支出。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三是预算财务分析常态化，定期做好预算支出财务分析，做好部门整体支出预算评价工作。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四是财政资金按进度支付，以提高资金的使用效率。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五是严格按照相关资金及项目管理办法和制度，做到专款专用，专项资金单独核算，对专项资金支出加大审核力度，严格按制度执行。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eastAsia="zh-CN"/>
        </w:rPr>
        <w:t>无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3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3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3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en-US" w:eastAsia="en-US"/>
        </w:rPr>
        <w:t>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主要包括绩效总目标和阶段性目标，实现的产出情况和取得的效益情况。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4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4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9A844"/>
    <w:multiLevelType w:val="singleLevel"/>
    <w:tmpl w:val="95D9A8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1882C9"/>
    <w:multiLevelType w:val="singleLevel"/>
    <w:tmpl w:val="BB1882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MyYzcyNTVhMGQxYmU2MTUxYzkxMmFiYjZhZWRhMWEifQ=="/>
  </w:docVars>
  <w:rsids>
    <w:rsidRoot w:val="00000000"/>
    <w:rsid w:val="01AF3811"/>
    <w:rsid w:val="03795BF7"/>
    <w:rsid w:val="086E756B"/>
    <w:rsid w:val="0894014C"/>
    <w:rsid w:val="0ACF37E5"/>
    <w:rsid w:val="0B400BC6"/>
    <w:rsid w:val="0E68228D"/>
    <w:rsid w:val="15276E52"/>
    <w:rsid w:val="19D32FBC"/>
    <w:rsid w:val="1A002777"/>
    <w:rsid w:val="1E6A4395"/>
    <w:rsid w:val="1F9B08C7"/>
    <w:rsid w:val="20383884"/>
    <w:rsid w:val="219519F6"/>
    <w:rsid w:val="22995516"/>
    <w:rsid w:val="25557A3D"/>
    <w:rsid w:val="26EA5ED7"/>
    <w:rsid w:val="27A93B82"/>
    <w:rsid w:val="28B3505A"/>
    <w:rsid w:val="28FE4325"/>
    <w:rsid w:val="2AE00186"/>
    <w:rsid w:val="2C8531FF"/>
    <w:rsid w:val="2D9B3DBC"/>
    <w:rsid w:val="308216BE"/>
    <w:rsid w:val="30D720FE"/>
    <w:rsid w:val="32DC1F56"/>
    <w:rsid w:val="34FE1149"/>
    <w:rsid w:val="3A550786"/>
    <w:rsid w:val="3B7A130F"/>
    <w:rsid w:val="3D4F8432"/>
    <w:rsid w:val="40063639"/>
    <w:rsid w:val="43EA4F11"/>
    <w:rsid w:val="47905F42"/>
    <w:rsid w:val="485D4678"/>
    <w:rsid w:val="4BAF1783"/>
    <w:rsid w:val="4C2D319E"/>
    <w:rsid w:val="4CAE1A3B"/>
    <w:rsid w:val="4E2D09C4"/>
    <w:rsid w:val="4F8B6063"/>
    <w:rsid w:val="52FA3F96"/>
    <w:rsid w:val="531275B2"/>
    <w:rsid w:val="53F7BD4D"/>
    <w:rsid w:val="54C667DC"/>
    <w:rsid w:val="55850F17"/>
    <w:rsid w:val="57AE6D93"/>
    <w:rsid w:val="5FB623A7"/>
    <w:rsid w:val="600D6620"/>
    <w:rsid w:val="6E3851B0"/>
    <w:rsid w:val="6FF84903"/>
    <w:rsid w:val="72EB459F"/>
    <w:rsid w:val="75994786"/>
    <w:rsid w:val="761C7166"/>
    <w:rsid w:val="777FA019"/>
    <w:rsid w:val="7E1A176B"/>
    <w:rsid w:val="7ED67756"/>
    <w:rsid w:val="7ED7E2D5"/>
    <w:rsid w:val="F6FFFAA0"/>
    <w:rsid w:val="FFFB7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3387</Words>
  <Characters>3695</Characters>
  <TotalTime>9</TotalTime>
  <ScaleCrop>false</ScaleCrop>
  <LinksUpToDate>false</LinksUpToDate>
  <CharactersWithSpaces>3810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2024-04-21T05:25:00Z</dcterms:created>
  <dc:creator>Administrator</dc:creator>
  <cp:lastModifiedBy>kylin</cp:lastModifiedBy>
  <cp:lastPrinted>2024-05-22T22:05:00Z</cp:lastPrinted>
  <dcterms:modified xsi:type="dcterms:W3CDTF">2024-07-26T11:05:55Z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2052-11.8.2.10505</vt:lpwstr>
  </property>
  <property fmtid="{D5CDD505-2E9C-101B-9397-08002B2CF9AE}" pid="6" name="ICV">
    <vt:lpwstr>A1E9AC54BF58440288AD196632C2A254_12</vt:lpwstr>
  </property>
</Properties>
</file>