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2"/>
        <w:gridCol w:w="1347"/>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082"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305"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082" w:type="dxa"/>
            <w:vMerge w:val="continue"/>
            <w:tcBorders>
              <w:top w:val="nil"/>
            </w:tcBorders>
            <w:vAlign w:val="center"/>
          </w:tcPr>
          <w:p>
            <w:pPr>
              <w:spacing w:line="240" w:lineRule="auto"/>
              <w:ind w:firstLine="420"/>
              <w:jc w:val="center"/>
              <w:rPr>
                <w:rFonts w:ascii="仿宋_GB2312" w:eastAsia="仿宋_GB2312"/>
                <w:kern w:val="0"/>
              </w:rPr>
            </w:pPr>
          </w:p>
        </w:tc>
        <w:tc>
          <w:tcPr>
            <w:tcW w:w="2305"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w:t>
            </w: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82"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305"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082"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30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3.39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6.35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082"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30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082"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305"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082"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305"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082"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305"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082"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305"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6.35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082"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305"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82"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305"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82"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305"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082"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30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082"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305" w:type="dxa"/>
            <w:gridSpan w:val="2"/>
            <w:vAlign w:val="center"/>
          </w:tcPr>
          <w:p>
            <w:pPr>
              <w:spacing w:line="240" w:lineRule="auto"/>
              <w:ind w:firstLine="420"/>
              <w:jc w:val="center"/>
              <w:rPr>
                <w:rFonts w:ascii="仿宋_GB2312" w:eastAsia="仿宋_GB2312"/>
                <w:kern w:val="0"/>
              </w:rPr>
            </w:pPr>
            <w:r>
              <w:rPr>
                <w:rFonts w:ascii="微软雅黑" w:hAnsi="微软雅黑" w:eastAsia="微软雅黑" w:cs="微软雅黑"/>
                <w:i w:val="0"/>
                <w:iCs w:val="0"/>
                <w:caps w:val="0"/>
                <w:color w:val="555555"/>
                <w:spacing w:val="0"/>
                <w:sz w:val="16"/>
                <w:szCs w:val="16"/>
                <w:shd w:val="clear" w:fill="FFFFFF"/>
              </w:rPr>
              <w:t>26.57</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23</w:t>
            </w:r>
            <w:r>
              <w:rPr>
                <w:rFonts w:hint="eastAsia" w:ascii="仿宋_GB2312" w:eastAsia="仿宋_GB2312"/>
                <w:kern w:val="0"/>
                <w:lang w:eastAsia="zh-CN"/>
              </w:rPr>
              <w:t>.</w:t>
            </w:r>
            <w:r>
              <w:rPr>
                <w:rFonts w:hint="eastAsia" w:ascii="仿宋_GB2312" w:eastAsia="仿宋_GB2312"/>
                <w:kern w:val="0"/>
              </w:rPr>
              <w:t>30</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47.88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082"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305"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2.29</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1</w:t>
            </w:r>
            <w:r>
              <w:rPr>
                <w:rFonts w:hint="eastAsia" w:ascii="仿宋_GB2312" w:eastAsia="仿宋_GB2312"/>
                <w:kern w:val="0"/>
                <w:lang w:eastAsia="zh-CN"/>
              </w:rPr>
              <w:t>.</w:t>
            </w:r>
            <w:r>
              <w:rPr>
                <w:rFonts w:hint="eastAsia" w:ascii="仿宋_GB2312" w:eastAsia="仿宋_GB2312"/>
                <w:kern w:val="0"/>
              </w:rPr>
              <w:t>69</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5.04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082"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水费</w:t>
            </w:r>
          </w:p>
        </w:tc>
        <w:tc>
          <w:tcPr>
            <w:tcW w:w="2305" w:type="dxa"/>
            <w:gridSpan w:val="2"/>
            <w:vAlign w:val="center"/>
          </w:tcPr>
          <w:p>
            <w:pPr>
              <w:spacing w:line="240" w:lineRule="auto"/>
              <w:ind w:firstLine="420"/>
              <w:jc w:val="center"/>
              <w:rPr>
                <w:rFonts w:hint="eastAsia" w:ascii="仿宋_GB2312" w:eastAsia="仿宋_GB2312"/>
                <w:kern w:val="0"/>
              </w:rPr>
            </w:pPr>
          </w:p>
        </w:tc>
        <w:tc>
          <w:tcPr>
            <w:tcW w:w="2039" w:type="dxa"/>
            <w:gridSpan w:val="2"/>
            <w:vAlign w:val="center"/>
          </w:tcPr>
          <w:p>
            <w:pPr>
              <w:spacing w:line="240" w:lineRule="auto"/>
              <w:ind w:firstLine="420"/>
              <w:jc w:val="center"/>
              <w:rPr>
                <w:rFonts w:hint="eastAsia" w:ascii="仿宋_GB2312" w:eastAsia="仿宋_GB2312"/>
                <w:kern w:val="0"/>
              </w:rPr>
            </w:pPr>
            <w:r>
              <w:rPr>
                <w:rFonts w:hint="eastAsia" w:ascii="仿宋_GB2312" w:eastAsia="仿宋_GB2312"/>
                <w:kern w:val="0"/>
                <w:lang w:val="en-US" w:eastAsia="zh-CN"/>
              </w:rPr>
              <w:t>0.</w:t>
            </w:r>
            <w:r>
              <w:rPr>
                <w:rFonts w:hint="eastAsia" w:ascii="仿宋_GB2312" w:eastAsia="仿宋_GB2312"/>
                <w:kern w:val="0"/>
              </w:rPr>
              <w:t>26</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082"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电费</w:t>
            </w:r>
          </w:p>
        </w:tc>
        <w:tc>
          <w:tcPr>
            <w:tcW w:w="2305" w:type="dxa"/>
            <w:gridSpan w:val="2"/>
            <w:vAlign w:val="center"/>
          </w:tcPr>
          <w:p>
            <w:pPr>
              <w:spacing w:line="240" w:lineRule="auto"/>
              <w:ind w:firstLine="420"/>
              <w:jc w:val="center"/>
              <w:rPr>
                <w:rFonts w:hint="eastAsia" w:ascii="仿宋_GB2312" w:eastAsia="仿宋_GB2312"/>
                <w:kern w:val="0"/>
              </w:rPr>
            </w:pPr>
          </w:p>
        </w:tc>
        <w:tc>
          <w:tcPr>
            <w:tcW w:w="2039" w:type="dxa"/>
            <w:gridSpan w:val="2"/>
            <w:vAlign w:val="center"/>
          </w:tcPr>
          <w:p>
            <w:pPr>
              <w:spacing w:line="240" w:lineRule="auto"/>
              <w:ind w:firstLine="420"/>
              <w:jc w:val="center"/>
              <w:rPr>
                <w:rFonts w:hint="eastAsia" w:ascii="仿宋_GB2312" w:eastAsia="仿宋_GB2312"/>
                <w:kern w:val="0"/>
              </w:rPr>
            </w:pPr>
            <w:r>
              <w:rPr>
                <w:rFonts w:hint="eastAsia" w:ascii="仿宋_GB2312" w:eastAsia="仿宋_GB2312"/>
                <w:kern w:val="0"/>
                <w:lang w:val="en-US" w:eastAsia="zh-CN"/>
              </w:rPr>
              <w:t>0.</w:t>
            </w:r>
            <w:r>
              <w:rPr>
                <w:rFonts w:hint="eastAsia" w:ascii="仿宋_GB2312" w:eastAsia="仿宋_GB2312"/>
                <w:kern w:val="0"/>
              </w:rPr>
              <w:t>65</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082"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印刷费</w:t>
            </w:r>
          </w:p>
        </w:tc>
        <w:tc>
          <w:tcPr>
            <w:tcW w:w="2305"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1.02</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0.</w:t>
            </w:r>
            <w:r>
              <w:rPr>
                <w:rFonts w:hint="eastAsia" w:ascii="仿宋_GB2312" w:eastAsia="仿宋_GB2312"/>
                <w:kern w:val="0"/>
              </w:rPr>
              <w:t>39</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082" w:type="dxa"/>
            <w:vAlign w:val="center"/>
          </w:tcPr>
          <w:p>
            <w:pPr>
              <w:spacing w:line="240" w:lineRule="auto"/>
              <w:ind w:firstLine="1470" w:firstLineChars="700"/>
              <w:jc w:val="both"/>
              <w:rPr>
                <w:rFonts w:ascii="仿宋_GB2312" w:eastAsia="仿宋_GB2312"/>
                <w:kern w:val="0"/>
              </w:rPr>
            </w:pPr>
            <w:r>
              <w:rPr>
                <w:rFonts w:hint="eastAsia" w:ascii="仿宋_GB2312" w:hAnsi="宋体" w:eastAsia="仿宋_GB2312" w:cs="宋体"/>
                <w:kern w:val="0"/>
              </w:rPr>
              <w:t>会议费</w:t>
            </w:r>
          </w:p>
        </w:tc>
        <w:tc>
          <w:tcPr>
            <w:tcW w:w="2305"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1.95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082" w:type="dxa"/>
            <w:vAlign w:val="center"/>
          </w:tcPr>
          <w:p>
            <w:pPr>
              <w:spacing w:line="240" w:lineRule="auto"/>
              <w:ind w:firstLine="1470" w:firstLineChars="700"/>
              <w:jc w:val="both"/>
              <w:rPr>
                <w:rFonts w:hint="eastAsia" w:ascii="仿宋_GB2312" w:hAnsi="宋体" w:eastAsia="仿宋_GB2312" w:cs="宋体"/>
                <w:kern w:val="0"/>
              </w:rPr>
            </w:pPr>
            <w:r>
              <w:rPr>
                <w:rFonts w:hint="eastAsia" w:ascii="仿宋_GB2312" w:hAnsi="宋体" w:eastAsia="仿宋_GB2312" w:cs="宋体"/>
                <w:kern w:val="0"/>
              </w:rPr>
              <w:t>维修（护）费</w:t>
            </w:r>
          </w:p>
        </w:tc>
        <w:tc>
          <w:tcPr>
            <w:tcW w:w="2305" w:type="dxa"/>
            <w:gridSpan w:val="2"/>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2.36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6.5</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082"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305" w:type="dxa"/>
            <w:gridSpan w:val="2"/>
            <w:vAlign w:val="center"/>
          </w:tcPr>
          <w:p>
            <w:pPr>
              <w:spacing w:line="240" w:lineRule="auto"/>
              <w:ind w:firstLine="420"/>
              <w:jc w:val="center"/>
              <w:rPr>
                <w:rFonts w:ascii="仿宋_GB2312" w:eastAsia="仿宋_GB2312"/>
                <w:kern w:val="0"/>
              </w:rPr>
            </w:pPr>
            <w:r>
              <w:rPr>
                <w:rFonts w:ascii="微软雅黑" w:hAnsi="微软雅黑" w:eastAsia="微软雅黑" w:cs="微软雅黑"/>
                <w:i w:val="0"/>
                <w:iCs w:val="0"/>
                <w:caps w:val="0"/>
                <w:color w:val="555555"/>
                <w:spacing w:val="0"/>
                <w:sz w:val="16"/>
                <w:szCs w:val="16"/>
                <w:shd w:val="clear" w:fill="FFFFFF"/>
              </w:rPr>
              <w:t>20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8.93</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082"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305"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160.38</w:t>
            </w:r>
          </w:p>
        </w:tc>
        <w:tc>
          <w:tcPr>
            <w:tcW w:w="2039" w:type="dxa"/>
            <w:gridSpan w:val="2"/>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153.6</w:t>
            </w:r>
            <w:r>
              <w:rPr>
                <w:rFonts w:hint="eastAsia" w:ascii="仿宋_GB2312" w:eastAsia="仿宋_GB2312"/>
                <w:kern w:val="0"/>
                <w:lang w:val="en-US" w:eastAsia="zh-CN"/>
              </w:rPr>
              <w:t>1</w:t>
            </w:r>
          </w:p>
        </w:tc>
        <w:tc>
          <w:tcPr>
            <w:tcW w:w="1983" w:type="dxa"/>
            <w:gridSpan w:val="2"/>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205.79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3082"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347"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082"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347"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082"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327" w:type="dxa"/>
            <w:gridSpan w:val="6"/>
            <w:vAlign w:val="center"/>
          </w:tcPr>
          <w:p>
            <w:pPr>
              <w:kinsoku w:val="0"/>
              <w:autoSpaceDE w:val="0"/>
              <w:autoSpaceDN w:val="0"/>
              <w:adjustRightInd w:val="0"/>
              <w:snapToGrid w:val="0"/>
              <w:jc w:val="both"/>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严格控制“三公经费”支出，加强资产管控，优先调剂非必要不新增</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153"/>
        <w:gridCol w:w="1585"/>
        <w:gridCol w:w="629"/>
        <w:gridCol w:w="768"/>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153"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585"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76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rPr>
              <w:t>166</w:t>
            </w:r>
            <w:r>
              <w:rPr>
                <w:rFonts w:hint="eastAsia" w:ascii="仿宋_GB2312" w:eastAsia="仿宋_GB2312"/>
                <w:kern w:val="0"/>
                <w:lang w:eastAsia="zh-CN"/>
              </w:rPr>
              <w:t>.</w:t>
            </w:r>
            <w:r>
              <w:rPr>
                <w:rFonts w:hint="eastAsia" w:ascii="仿宋_GB2312" w:eastAsia="仿宋_GB2312"/>
                <w:kern w:val="0"/>
              </w:rPr>
              <w:t>6</w:t>
            </w:r>
            <w:r>
              <w:rPr>
                <w:rFonts w:hint="eastAsia" w:ascii="仿宋_GB2312" w:eastAsia="仿宋_GB2312"/>
                <w:kern w:val="0"/>
                <w:lang w:val="en-US" w:eastAsia="zh-CN"/>
              </w:rPr>
              <w:t>1</w:t>
            </w:r>
          </w:p>
        </w:tc>
        <w:tc>
          <w:tcPr>
            <w:tcW w:w="1153"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250.31</w:t>
            </w:r>
          </w:p>
        </w:tc>
        <w:tc>
          <w:tcPr>
            <w:tcW w:w="1585"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250.31</w:t>
            </w:r>
          </w:p>
        </w:tc>
        <w:tc>
          <w:tcPr>
            <w:tcW w:w="629"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rPr>
              <w:t>10</w:t>
            </w:r>
            <w:r>
              <w:rPr>
                <w:rFonts w:hint="eastAsia" w:ascii="仿宋_GB2312" w:eastAsia="仿宋_GB2312"/>
                <w:kern w:val="0"/>
                <w:lang w:val="en-US" w:eastAsia="zh-CN"/>
              </w:rPr>
              <w:t>0</w:t>
            </w:r>
          </w:p>
        </w:tc>
        <w:tc>
          <w:tcPr>
            <w:tcW w:w="768"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150.24%</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50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40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500" w:type="dxa"/>
            <w:gridSpan w:val="4"/>
            <w:vAlign w:val="center"/>
          </w:tcPr>
          <w:p>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w:t>
            </w:r>
            <w:r>
              <w:rPr>
                <w:rFonts w:hint="eastAsia" w:ascii="仿宋_GB2312" w:eastAsia="仿宋_GB2312"/>
                <w:kern w:val="0"/>
              </w:rPr>
              <w:t>250.31</w:t>
            </w:r>
          </w:p>
        </w:tc>
        <w:tc>
          <w:tcPr>
            <w:tcW w:w="440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其中：基本支出：205.79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500" w:type="dxa"/>
            <w:gridSpan w:val="4"/>
            <w:vAlign w:val="center"/>
          </w:tcPr>
          <w:p>
            <w:pPr>
              <w:spacing w:line="240" w:lineRule="auto"/>
              <w:ind w:firstLine="1050" w:firstLineChars="500"/>
              <w:jc w:val="left"/>
              <w:rPr>
                <w:rFonts w:hint="eastAsia"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0</w:t>
            </w:r>
          </w:p>
        </w:tc>
        <w:tc>
          <w:tcPr>
            <w:tcW w:w="440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项目支出：44.52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50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lang w:eastAsia="zh-CN"/>
              </w:rPr>
              <w:t>纳入专户管理的非税收入拨款：</w:t>
            </w:r>
            <w:r>
              <w:rPr>
                <w:rFonts w:hint="eastAsia" w:ascii="仿宋_GB2312" w:hAnsi="宋体" w:eastAsia="仿宋_GB2312" w:cs="宋体"/>
                <w:kern w:val="0"/>
                <w:lang w:val="en-US" w:eastAsia="zh-CN"/>
              </w:rPr>
              <w:t>0</w:t>
            </w:r>
          </w:p>
        </w:tc>
        <w:tc>
          <w:tcPr>
            <w:tcW w:w="4405"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500" w:type="dxa"/>
            <w:gridSpan w:val="4"/>
            <w:vAlign w:val="center"/>
          </w:tcPr>
          <w:p>
            <w:pPr>
              <w:spacing w:line="240" w:lineRule="auto"/>
              <w:ind w:firstLine="1050" w:firstLineChars="500"/>
              <w:jc w:val="left"/>
              <w:rPr>
                <w:rFonts w:hint="eastAsia" w:ascii="仿宋_GB2312" w:eastAsia="仿宋_GB2312"/>
                <w:kern w:val="0"/>
                <w:lang w:val="en-US" w:eastAsia="zh-CN"/>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0</w:t>
            </w:r>
          </w:p>
        </w:tc>
        <w:tc>
          <w:tcPr>
            <w:tcW w:w="4405"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500"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405"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500" w:type="dxa"/>
            <w:gridSpan w:val="4"/>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目标1：精心筹组沙龙活动</w:t>
            </w:r>
          </w:p>
          <w:p>
            <w:pPr>
              <w:spacing w:line="240" w:lineRule="auto"/>
              <w:ind w:firstLine="420"/>
              <w:jc w:val="center"/>
              <w:rPr>
                <w:rFonts w:hint="eastAsia" w:ascii="仿宋_GB2312" w:eastAsia="仿宋_GB2312"/>
                <w:kern w:val="0"/>
              </w:rPr>
            </w:pPr>
            <w:r>
              <w:rPr>
                <w:rFonts w:hint="eastAsia" w:ascii="仿宋_GB2312" w:eastAsia="仿宋_GB2312"/>
                <w:kern w:val="0"/>
              </w:rPr>
              <w:t>目标2：主动服务乡村振兴</w:t>
            </w:r>
          </w:p>
          <w:p>
            <w:pPr>
              <w:spacing w:line="240" w:lineRule="auto"/>
              <w:ind w:firstLine="420"/>
              <w:jc w:val="center"/>
              <w:rPr>
                <w:rFonts w:hint="eastAsia" w:ascii="仿宋_GB2312" w:eastAsia="仿宋_GB2312"/>
                <w:kern w:val="0"/>
              </w:rPr>
            </w:pPr>
            <w:r>
              <w:rPr>
                <w:rFonts w:hint="eastAsia" w:ascii="仿宋_GB2312" w:eastAsia="仿宋_GB2312"/>
                <w:kern w:val="0"/>
              </w:rPr>
              <w:t>目标3：深入开展走访调研</w:t>
            </w:r>
          </w:p>
          <w:p>
            <w:pPr>
              <w:spacing w:line="240" w:lineRule="auto"/>
              <w:ind w:firstLine="420"/>
              <w:jc w:val="center"/>
              <w:rPr>
                <w:rFonts w:hint="eastAsia" w:ascii="仿宋_GB2312" w:eastAsia="仿宋_GB2312"/>
                <w:kern w:val="0"/>
              </w:rPr>
            </w:pPr>
            <w:r>
              <w:rPr>
                <w:rFonts w:hint="eastAsia" w:ascii="仿宋_GB2312" w:eastAsia="仿宋_GB2312"/>
                <w:kern w:val="0"/>
              </w:rPr>
              <w:t>目标4：积极参与招商引资</w:t>
            </w:r>
          </w:p>
          <w:p>
            <w:pPr>
              <w:spacing w:line="240" w:lineRule="auto"/>
              <w:ind w:firstLine="420"/>
              <w:jc w:val="center"/>
              <w:rPr>
                <w:rFonts w:hint="eastAsia" w:ascii="仿宋_GB2312" w:eastAsia="仿宋_GB2312"/>
                <w:kern w:val="0"/>
              </w:rPr>
            </w:pPr>
            <w:r>
              <w:rPr>
                <w:rFonts w:hint="eastAsia" w:ascii="仿宋_GB2312" w:eastAsia="仿宋_GB2312"/>
                <w:kern w:val="0"/>
              </w:rPr>
              <w:t>目标5：坚持抓实教育引导</w:t>
            </w:r>
          </w:p>
        </w:tc>
        <w:tc>
          <w:tcPr>
            <w:tcW w:w="4405" w:type="dxa"/>
            <w:gridSpan w:val="4"/>
            <w:vAlign w:val="center"/>
          </w:tcPr>
          <w:p>
            <w:pPr>
              <w:numPr>
                <w:ilvl w:val="0"/>
                <w:numId w:val="1"/>
              </w:numPr>
              <w:spacing w:line="240" w:lineRule="auto"/>
              <w:jc w:val="left"/>
              <w:rPr>
                <w:rFonts w:hint="eastAsia" w:ascii="仿宋_GB2312" w:eastAsia="仿宋_GB2312"/>
                <w:kern w:val="0"/>
              </w:rPr>
            </w:pPr>
            <w:r>
              <w:rPr>
                <w:rFonts w:hint="eastAsia" w:ascii="仿宋_GB2312" w:eastAsia="仿宋_GB2312"/>
                <w:kern w:val="0"/>
              </w:rPr>
              <w:t xml:space="preserve">先后举办5期沙龙活动                                      2. 今年我市已录入全联系统参与“万企兴万村”行动企业103家，实施项目127个，投入资金1.28亿元，位居岳阳市前列。  </w:t>
            </w:r>
          </w:p>
          <w:p>
            <w:pPr>
              <w:numPr>
                <w:ilvl w:val="0"/>
                <w:numId w:val="1"/>
              </w:numPr>
              <w:spacing w:line="240" w:lineRule="auto"/>
              <w:ind w:left="0" w:leftChars="0" w:firstLine="0" w:firstLineChars="0"/>
              <w:jc w:val="left"/>
              <w:rPr>
                <w:rFonts w:hint="eastAsia" w:ascii="仿宋_GB2312" w:eastAsia="仿宋_GB2312"/>
                <w:kern w:val="0"/>
              </w:rPr>
            </w:pPr>
            <w:r>
              <w:rPr>
                <w:rFonts w:hint="eastAsia" w:ascii="仿宋_GB2312" w:eastAsia="仿宋_GB2312"/>
                <w:kern w:val="0"/>
              </w:rPr>
              <w:t>坚持常态化走访，深入60多家企业走访调研，收集相关意见建议18条，协调解决实际问题11个。</w:t>
            </w:r>
          </w:p>
          <w:p>
            <w:pPr>
              <w:numPr>
                <w:ilvl w:val="0"/>
                <w:numId w:val="1"/>
              </w:numPr>
              <w:spacing w:line="240" w:lineRule="auto"/>
              <w:ind w:left="0" w:leftChars="0" w:firstLine="0" w:firstLineChars="0"/>
              <w:jc w:val="left"/>
              <w:rPr>
                <w:rFonts w:hint="eastAsia" w:ascii="仿宋_GB2312" w:eastAsia="仿宋_GB2312"/>
                <w:kern w:val="0"/>
              </w:rPr>
            </w:pPr>
            <w:r>
              <w:rPr>
                <w:rFonts w:hint="eastAsia" w:ascii="仿宋_GB2312" w:eastAsia="仿宋_GB2312"/>
                <w:kern w:val="0"/>
              </w:rPr>
              <w:t>持续开展“迎老乡、回故乡、建家乡”活动，全面摸清、收集寓外乡友信息，建立乡友“项目库”，以企引企，以商招商，今年新签约湘商回归项目29个，合同引资金额96.641亿元。</w:t>
            </w:r>
          </w:p>
          <w:p>
            <w:pPr>
              <w:numPr>
                <w:numId w:val="0"/>
              </w:numPr>
              <w:spacing w:line="240" w:lineRule="auto"/>
              <w:ind w:leftChars="0"/>
              <w:jc w:val="left"/>
              <w:rPr>
                <w:rFonts w:ascii="仿宋_GB2312" w:eastAsia="仿宋_GB2312"/>
                <w:kern w:val="0"/>
              </w:rPr>
            </w:pPr>
            <w:r>
              <w:rPr>
                <w:rFonts w:hint="eastAsia" w:ascii="仿宋_GB2312" w:eastAsia="仿宋_GB2312"/>
                <w:kern w:val="0"/>
              </w:rPr>
              <w:t>5.开展清廉民企示范点建设行动，今年全市民营企业捐赠教育发展基金近3000万元。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15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585"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76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推荐优秀非公经济人士加入党组织</w:t>
            </w:r>
          </w:p>
        </w:tc>
        <w:tc>
          <w:tcPr>
            <w:tcW w:w="1153" w:type="dxa"/>
            <w:vAlign w:val="center"/>
          </w:tcPr>
          <w:p>
            <w:pPr>
              <w:spacing w:line="240" w:lineRule="auto"/>
              <w:ind w:firstLine="420"/>
              <w:jc w:val="center"/>
              <w:rPr>
                <w:rFonts w:ascii="仿宋_GB2312" w:eastAsia="仿宋_GB2312"/>
                <w:kern w:val="0"/>
              </w:rPr>
            </w:pPr>
            <w:r>
              <w:rPr>
                <w:rFonts w:hint="eastAsia" w:ascii="仿宋_GB2312" w:eastAsia="仿宋_GB2312"/>
                <w:kern w:val="0"/>
              </w:rPr>
              <w:t>3人</w:t>
            </w:r>
          </w:p>
        </w:tc>
        <w:tc>
          <w:tcPr>
            <w:tcW w:w="1585" w:type="dxa"/>
            <w:vAlign w:val="center"/>
          </w:tcPr>
          <w:p>
            <w:pPr>
              <w:spacing w:line="240" w:lineRule="auto"/>
              <w:jc w:val="both"/>
              <w:rPr>
                <w:rFonts w:ascii="仿宋_GB2312" w:eastAsia="仿宋_GB2312"/>
                <w:kern w:val="0"/>
              </w:rPr>
            </w:pPr>
            <w:r>
              <w:rPr>
                <w:rFonts w:hint="eastAsia" w:ascii="仿宋_GB2312" w:eastAsia="仿宋_GB2312"/>
                <w:kern w:val="0"/>
              </w:rPr>
              <w:t>新加入党组织3人</w:t>
            </w:r>
          </w:p>
        </w:tc>
        <w:tc>
          <w:tcPr>
            <w:tcW w:w="629"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76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组织开展“企业家沙龙”活动</w:t>
            </w:r>
          </w:p>
        </w:tc>
        <w:tc>
          <w:tcPr>
            <w:tcW w:w="1153" w:type="dxa"/>
            <w:vAlign w:val="center"/>
          </w:tcPr>
          <w:p>
            <w:pPr>
              <w:spacing w:line="240" w:lineRule="auto"/>
              <w:ind w:firstLine="420"/>
              <w:jc w:val="center"/>
              <w:rPr>
                <w:rFonts w:ascii="仿宋_GB2312" w:eastAsia="仿宋_GB2312"/>
                <w:kern w:val="0"/>
              </w:rPr>
            </w:pPr>
            <w:r>
              <w:rPr>
                <w:rFonts w:hint="eastAsia" w:ascii="仿宋_GB2312" w:eastAsia="仿宋_GB2312"/>
                <w:kern w:val="0"/>
              </w:rPr>
              <w:t>5次</w:t>
            </w:r>
          </w:p>
        </w:tc>
        <w:tc>
          <w:tcPr>
            <w:tcW w:w="1585" w:type="dxa"/>
            <w:vAlign w:val="center"/>
          </w:tcPr>
          <w:p>
            <w:pPr>
              <w:spacing w:line="240" w:lineRule="auto"/>
              <w:jc w:val="both"/>
              <w:rPr>
                <w:rFonts w:ascii="仿宋_GB2312" w:eastAsia="仿宋_GB2312"/>
                <w:kern w:val="0"/>
              </w:rPr>
            </w:pPr>
            <w:r>
              <w:rPr>
                <w:rFonts w:hint="eastAsia" w:ascii="仿宋_GB2312" w:eastAsia="仿宋_GB2312"/>
                <w:kern w:val="0"/>
              </w:rPr>
              <w:t>收集问题（建议）67个，各承办责任部门积极办理，现已办结28个。</w:t>
            </w:r>
          </w:p>
        </w:tc>
        <w:tc>
          <w:tcPr>
            <w:tcW w:w="629"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15</w:t>
            </w:r>
          </w:p>
        </w:tc>
        <w:tc>
          <w:tcPr>
            <w:tcW w:w="76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积极动员引导全市民营企业参与“万企兴万村”行动，</w:t>
            </w:r>
          </w:p>
        </w:tc>
        <w:tc>
          <w:tcPr>
            <w:tcW w:w="1153" w:type="dxa"/>
            <w:vAlign w:val="center"/>
          </w:tcPr>
          <w:p>
            <w:pPr>
              <w:spacing w:line="240" w:lineRule="auto"/>
              <w:jc w:val="center"/>
              <w:rPr>
                <w:rFonts w:ascii="仿宋_GB2312" w:eastAsia="仿宋_GB2312"/>
                <w:kern w:val="0"/>
              </w:rPr>
            </w:pPr>
            <w:r>
              <w:rPr>
                <w:rFonts w:hint="eastAsia" w:ascii="仿宋_GB2312" w:eastAsia="仿宋_GB2312"/>
                <w:kern w:val="0"/>
              </w:rPr>
              <w:t>103家</w:t>
            </w:r>
          </w:p>
        </w:tc>
        <w:tc>
          <w:tcPr>
            <w:tcW w:w="1585" w:type="dxa"/>
            <w:vAlign w:val="center"/>
          </w:tcPr>
          <w:p>
            <w:pPr>
              <w:spacing w:line="240" w:lineRule="auto"/>
              <w:jc w:val="both"/>
              <w:rPr>
                <w:rFonts w:ascii="仿宋_GB2312" w:eastAsia="仿宋_GB2312"/>
                <w:kern w:val="0"/>
              </w:rPr>
            </w:pPr>
            <w:r>
              <w:rPr>
                <w:rFonts w:hint="eastAsia" w:ascii="仿宋_GB2312" w:eastAsia="仿宋_GB2312"/>
                <w:kern w:val="0"/>
              </w:rPr>
              <w:t>已录入系统企业103家，项目127个，资金1.28亿元。</w:t>
            </w:r>
          </w:p>
        </w:tc>
        <w:tc>
          <w:tcPr>
            <w:tcW w:w="629"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15</w:t>
            </w:r>
          </w:p>
        </w:tc>
        <w:tc>
          <w:tcPr>
            <w:tcW w:w="76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新发展会员</w:t>
            </w:r>
          </w:p>
        </w:tc>
        <w:tc>
          <w:tcPr>
            <w:tcW w:w="1153" w:type="dxa"/>
            <w:vAlign w:val="center"/>
          </w:tcPr>
          <w:p>
            <w:pPr>
              <w:keepNext w:val="0"/>
              <w:keepLines w:val="0"/>
              <w:widowControl/>
              <w:suppressLineNumbers w:val="0"/>
              <w:jc w:val="center"/>
              <w:textAlignment w:val="center"/>
              <w:rPr>
                <w:rFonts w:ascii="仿宋_GB2312" w:hAnsi="宋体" w:eastAsia="仿宋_GB2312" w:cs="仿宋_GB2312"/>
                <w:i w:val="0"/>
                <w:iCs w:val="0"/>
                <w:snapToGrid w:val="0"/>
                <w:color w:val="000000"/>
                <w:kern w:val="0"/>
                <w:sz w:val="16"/>
                <w:szCs w:val="16"/>
                <w:u w:val="none"/>
                <w:lang w:val="en-US" w:eastAsia="en-US" w:bidi="ar-SA"/>
              </w:rPr>
            </w:pPr>
            <w:r>
              <w:rPr>
                <w:rFonts w:hint="eastAsia" w:ascii="仿宋_GB2312" w:hAnsi="宋体" w:eastAsia="仿宋_GB2312" w:cs="仿宋_GB2312"/>
                <w:i w:val="0"/>
                <w:iCs w:val="0"/>
                <w:snapToGrid w:val="0"/>
                <w:color w:val="000000"/>
                <w:kern w:val="0"/>
                <w:sz w:val="16"/>
                <w:szCs w:val="16"/>
                <w:u w:val="none"/>
                <w:lang w:val="en-US" w:eastAsia="zh-CN" w:bidi="ar"/>
              </w:rPr>
              <w:t>169个</w:t>
            </w:r>
          </w:p>
        </w:tc>
        <w:tc>
          <w:tcPr>
            <w:tcW w:w="1585" w:type="dxa"/>
            <w:vAlign w:val="center"/>
          </w:tcPr>
          <w:p>
            <w:pPr>
              <w:spacing w:line="240" w:lineRule="auto"/>
              <w:jc w:val="both"/>
              <w:rPr>
                <w:rFonts w:ascii="仿宋_GB2312" w:eastAsia="仿宋_GB2312"/>
                <w:kern w:val="0"/>
              </w:rPr>
            </w:pPr>
            <w:r>
              <w:rPr>
                <w:rFonts w:hint="eastAsia" w:ascii="仿宋_GB2312" w:eastAsia="仿宋_GB2312"/>
                <w:kern w:val="0"/>
              </w:rPr>
              <w:t>会员队伍结构更加优化，质量更加优良。</w:t>
            </w:r>
          </w:p>
        </w:tc>
        <w:tc>
          <w:tcPr>
            <w:tcW w:w="629"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15</w:t>
            </w:r>
          </w:p>
        </w:tc>
        <w:tc>
          <w:tcPr>
            <w:tcW w:w="76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ind w:firstLine="420"/>
              <w:jc w:val="center"/>
              <w:rPr>
                <w:rFonts w:ascii="仿宋_GB2312" w:eastAsia="仿宋_GB2312"/>
                <w:kern w:val="0"/>
              </w:rPr>
            </w:pPr>
          </w:p>
        </w:tc>
        <w:tc>
          <w:tcPr>
            <w:tcW w:w="1153" w:type="dxa"/>
            <w:vAlign w:val="center"/>
          </w:tcPr>
          <w:p>
            <w:pPr>
              <w:spacing w:line="240" w:lineRule="auto"/>
              <w:ind w:firstLine="420"/>
              <w:jc w:val="center"/>
              <w:rPr>
                <w:rFonts w:ascii="仿宋_GB2312" w:eastAsia="仿宋_GB2312"/>
                <w:kern w:val="0"/>
              </w:rPr>
            </w:pPr>
          </w:p>
        </w:tc>
        <w:tc>
          <w:tcPr>
            <w:tcW w:w="1585" w:type="dxa"/>
            <w:vAlign w:val="center"/>
          </w:tcPr>
          <w:p>
            <w:pPr>
              <w:spacing w:line="240" w:lineRule="auto"/>
              <w:ind w:firstLine="420"/>
              <w:jc w:val="center"/>
              <w:rPr>
                <w:rFonts w:ascii="仿宋_GB2312" w:eastAsia="仿宋_GB2312"/>
                <w:kern w:val="0"/>
              </w:rPr>
            </w:pPr>
          </w:p>
        </w:tc>
        <w:tc>
          <w:tcPr>
            <w:tcW w:w="629" w:type="dxa"/>
            <w:vAlign w:val="center"/>
          </w:tcPr>
          <w:p>
            <w:pPr>
              <w:spacing w:line="240" w:lineRule="auto"/>
              <w:ind w:firstLine="420"/>
              <w:jc w:val="center"/>
              <w:rPr>
                <w:rFonts w:ascii="仿宋_GB2312" w:eastAsia="仿宋_GB2312"/>
                <w:kern w:val="0"/>
              </w:rPr>
            </w:pPr>
          </w:p>
        </w:tc>
        <w:tc>
          <w:tcPr>
            <w:tcW w:w="768"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153" w:type="dxa"/>
            <w:vAlign w:val="center"/>
          </w:tcPr>
          <w:p>
            <w:pPr>
              <w:spacing w:line="240" w:lineRule="auto"/>
              <w:jc w:val="both"/>
              <w:rPr>
                <w:rFonts w:ascii="仿宋_GB2312" w:eastAsia="仿宋_GB2312"/>
                <w:kern w:val="0"/>
              </w:rPr>
            </w:pPr>
          </w:p>
        </w:tc>
        <w:tc>
          <w:tcPr>
            <w:tcW w:w="1585" w:type="dxa"/>
            <w:vAlign w:val="center"/>
          </w:tcPr>
          <w:p>
            <w:pPr>
              <w:spacing w:line="240" w:lineRule="auto"/>
              <w:ind w:firstLine="420"/>
              <w:jc w:val="center"/>
              <w:rPr>
                <w:rFonts w:ascii="仿宋_GB2312" w:eastAsia="仿宋_GB2312"/>
                <w:kern w:val="0"/>
              </w:rPr>
            </w:pPr>
          </w:p>
        </w:tc>
        <w:tc>
          <w:tcPr>
            <w:tcW w:w="629" w:type="dxa"/>
            <w:vAlign w:val="center"/>
          </w:tcPr>
          <w:p>
            <w:pPr>
              <w:spacing w:line="240" w:lineRule="auto"/>
              <w:ind w:firstLine="420"/>
              <w:jc w:val="center"/>
              <w:rPr>
                <w:rFonts w:ascii="仿宋_GB2312" w:eastAsia="仿宋_GB2312"/>
                <w:kern w:val="0"/>
              </w:rPr>
            </w:pPr>
          </w:p>
        </w:tc>
        <w:tc>
          <w:tcPr>
            <w:tcW w:w="768"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ind w:firstLine="420"/>
              <w:jc w:val="center"/>
              <w:rPr>
                <w:rFonts w:ascii="仿宋_GB2312" w:eastAsia="仿宋_GB2312"/>
                <w:kern w:val="0"/>
              </w:rPr>
            </w:pPr>
          </w:p>
        </w:tc>
        <w:tc>
          <w:tcPr>
            <w:tcW w:w="1153" w:type="dxa"/>
            <w:vAlign w:val="center"/>
          </w:tcPr>
          <w:p>
            <w:pPr>
              <w:spacing w:line="240" w:lineRule="auto"/>
              <w:ind w:firstLine="420"/>
              <w:jc w:val="center"/>
              <w:rPr>
                <w:rFonts w:ascii="仿宋_GB2312" w:eastAsia="仿宋_GB2312"/>
                <w:kern w:val="0"/>
              </w:rPr>
            </w:pPr>
          </w:p>
        </w:tc>
        <w:tc>
          <w:tcPr>
            <w:tcW w:w="1585" w:type="dxa"/>
            <w:vAlign w:val="center"/>
          </w:tcPr>
          <w:p>
            <w:pPr>
              <w:spacing w:line="240" w:lineRule="auto"/>
              <w:ind w:firstLine="420"/>
              <w:jc w:val="center"/>
              <w:rPr>
                <w:rFonts w:ascii="仿宋_GB2312" w:eastAsia="仿宋_GB2312"/>
                <w:kern w:val="0"/>
              </w:rPr>
            </w:pPr>
          </w:p>
        </w:tc>
        <w:tc>
          <w:tcPr>
            <w:tcW w:w="629" w:type="dxa"/>
            <w:vAlign w:val="center"/>
          </w:tcPr>
          <w:p>
            <w:pPr>
              <w:spacing w:line="240" w:lineRule="auto"/>
              <w:ind w:firstLine="420"/>
              <w:jc w:val="center"/>
              <w:rPr>
                <w:rFonts w:ascii="仿宋_GB2312" w:eastAsia="仿宋_GB2312"/>
                <w:kern w:val="0"/>
              </w:rPr>
            </w:pPr>
          </w:p>
        </w:tc>
        <w:tc>
          <w:tcPr>
            <w:tcW w:w="768"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153" w:type="dxa"/>
            <w:vAlign w:val="center"/>
          </w:tcPr>
          <w:p>
            <w:pPr>
              <w:spacing w:line="240" w:lineRule="auto"/>
              <w:ind w:firstLine="420"/>
              <w:jc w:val="center"/>
              <w:rPr>
                <w:rFonts w:ascii="仿宋_GB2312" w:eastAsia="仿宋_GB2312"/>
                <w:kern w:val="0"/>
              </w:rPr>
            </w:pPr>
          </w:p>
        </w:tc>
        <w:tc>
          <w:tcPr>
            <w:tcW w:w="1585" w:type="dxa"/>
            <w:vAlign w:val="center"/>
          </w:tcPr>
          <w:p>
            <w:pPr>
              <w:spacing w:line="240" w:lineRule="auto"/>
              <w:ind w:firstLine="420"/>
              <w:jc w:val="center"/>
              <w:rPr>
                <w:rFonts w:ascii="仿宋_GB2312" w:eastAsia="仿宋_GB2312"/>
                <w:kern w:val="0"/>
              </w:rPr>
            </w:pPr>
          </w:p>
        </w:tc>
        <w:tc>
          <w:tcPr>
            <w:tcW w:w="629" w:type="dxa"/>
            <w:vAlign w:val="center"/>
          </w:tcPr>
          <w:p>
            <w:pPr>
              <w:spacing w:line="240" w:lineRule="auto"/>
              <w:ind w:firstLine="420"/>
              <w:jc w:val="center"/>
              <w:rPr>
                <w:rFonts w:ascii="仿宋_GB2312" w:eastAsia="仿宋_GB2312"/>
                <w:kern w:val="0"/>
              </w:rPr>
            </w:pPr>
          </w:p>
        </w:tc>
        <w:tc>
          <w:tcPr>
            <w:tcW w:w="768"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落实上级帮扶集体经济薄弱村工作要求</w:t>
            </w:r>
          </w:p>
        </w:tc>
        <w:tc>
          <w:tcPr>
            <w:tcW w:w="1153"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25</w:t>
            </w:r>
          </w:p>
        </w:tc>
        <w:tc>
          <w:tcPr>
            <w:tcW w:w="1585" w:type="dxa"/>
            <w:vAlign w:val="center"/>
          </w:tcPr>
          <w:p>
            <w:pPr>
              <w:spacing w:line="240" w:lineRule="auto"/>
              <w:jc w:val="both"/>
              <w:rPr>
                <w:rFonts w:ascii="仿宋_GB2312" w:eastAsia="仿宋_GB2312"/>
                <w:kern w:val="0"/>
              </w:rPr>
            </w:pPr>
            <w:r>
              <w:rPr>
                <w:rFonts w:hint="eastAsia" w:ascii="仿宋_GB2312" w:eastAsia="仿宋_GB2312"/>
                <w:kern w:val="0"/>
              </w:rPr>
              <w:t>精准对接27家民营企业帮扶25个集体经济薄弱村，实现薄弱村帮扶全覆盖。</w:t>
            </w:r>
          </w:p>
        </w:tc>
        <w:tc>
          <w:tcPr>
            <w:tcW w:w="629"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15</w:t>
            </w:r>
          </w:p>
        </w:tc>
        <w:tc>
          <w:tcPr>
            <w:tcW w:w="76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 xml:space="preserve">1、持续开展“迎老乡、回故乡、建家乡”活动，建立乡友“项目库”，以企引企，以商招商。2. 组织全市民营企业捐赠教育发展基金 </w:t>
            </w:r>
          </w:p>
        </w:tc>
        <w:tc>
          <w:tcPr>
            <w:tcW w:w="1153" w:type="dxa"/>
            <w:vAlign w:val="center"/>
          </w:tcPr>
          <w:p>
            <w:pPr>
              <w:spacing w:line="240" w:lineRule="auto"/>
              <w:ind w:firstLine="420"/>
              <w:jc w:val="center"/>
              <w:rPr>
                <w:rFonts w:ascii="仿宋_GB2312" w:eastAsia="仿宋_GB2312"/>
                <w:kern w:val="0"/>
              </w:rPr>
            </w:pPr>
            <w:r>
              <w:rPr>
                <w:rFonts w:hint="eastAsia" w:ascii="仿宋_GB2312" w:eastAsia="仿宋_GB2312"/>
                <w:kern w:val="0"/>
              </w:rPr>
              <w:t>5000万</w:t>
            </w:r>
          </w:p>
        </w:tc>
        <w:tc>
          <w:tcPr>
            <w:tcW w:w="1585"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1、今年新签约湘商回归项目29个，合同引资金额96.641亿元。2.今年全市民营企业捐赠教育发展基金近3000万元.</w:t>
            </w:r>
          </w:p>
        </w:tc>
        <w:tc>
          <w:tcPr>
            <w:tcW w:w="629"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15</w:t>
            </w:r>
          </w:p>
        </w:tc>
        <w:tc>
          <w:tcPr>
            <w:tcW w:w="76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ind w:firstLine="420"/>
              <w:jc w:val="center"/>
              <w:rPr>
                <w:rFonts w:ascii="仿宋_GB2312" w:eastAsia="仿宋_GB2312"/>
                <w:kern w:val="0"/>
              </w:rPr>
            </w:pPr>
          </w:p>
        </w:tc>
        <w:tc>
          <w:tcPr>
            <w:tcW w:w="1153" w:type="dxa"/>
            <w:vAlign w:val="center"/>
          </w:tcPr>
          <w:p>
            <w:pPr>
              <w:spacing w:line="240" w:lineRule="auto"/>
              <w:ind w:firstLine="420"/>
              <w:jc w:val="center"/>
              <w:rPr>
                <w:rFonts w:ascii="仿宋_GB2312" w:eastAsia="仿宋_GB2312"/>
                <w:kern w:val="0"/>
              </w:rPr>
            </w:pPr>
          </w:p>
        </w:tc>
        <w:tc>
          <w:tcPr>
            <w:tcW w:w="1585" w:type="dxa"/>
            <w:vAlign w:val="center"/>
          </w:tcPr>
          <w:p>
            <w:pPr>
              <w:spacing w:line="240" w:lineRule="auto"/>
              <w:ind w:firstLine="420"/>
              <w:jc w:val="center"/>
              <w:rPr>
                <w:rFonts w:ascii="仿宋_GB2312" w:eastAsia="仿宋_GB2312"/>
                <w:kern w:val="0"/>
              </w:rPr>
            </w:pPr>
          </w:p>
        </w:tc>
        <w:tc>
          <w:tcPr>
            <w:tcW w:w="629" w:type="dxa"/>
            <w:vAlign w:val="center"/>
          </w:tcPr>
          <w:p>
            <w:pPr>
              <w:spacing w:line="240" w:lineRule="auto"/>
              <w:ind w:firstLine="420"/>
              <w:jc w:val="center"/>
              <w:rPr>
                <w:rFonts w:ascii="仿宋_GB2312" w:eastAsia="仿宋_GB2312"/>
                <w:kern w:val="0"/>
              </w:rPr>
            </w:pPr>
          </w:p>
        </w:tc>
        <w:tc>
          <w:tcPr>
            <w:tcW w:w="768"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153" w:type="dxa"/>
            <w:vAlign w:val="center"/>
          </w:tcPr>
          <w:p>
            <w:pPr>
              <w:spacing w:line="240" w:lineRule="auto"/>
              <w:ind w:firstLine="420"/>
              <w:jc w:val="center"/>
              <w:rPr>
                <w:rFonts w:ascii="仿宋_GB2312" w:eastAsia="仿宋_GB2312"/>
                <w:kern w:val="0"/>
              </w:rPr>
            </w:pPr>
          </w:p>
        </w:tc>
        <w:tc>
          <w:tcPr>
            <w:tcW w:w="1585" w:type="dxa"/>
            <w:vAlign w:val="center"/>
          </w:tcPr>
          <w:p>
            <w:pPr>
              <w:spacing w:line="240" w:lineRule="auto"/>
              <w:ind w:firstLine="420"/>
              <w:jc w:val="center"/>
              <w:rPr>
                <w:rFonts w:ascii="仿宋_GB2312" w:eastAsia="仿宋_GB2312"/>
                <w:kern w:val="0"/>
              </w:rPr>
            </w:pPr>
          </w:p>
        </w:tc>
        <w:tc>
          <w:tcPr>
            <w:tcW w:w="629" w:type="dxa"/>
            <w:vAlign w:val="center"/>
          </w:tcPr>
          <w:p>
            <w:pPr>
              <w:spacing w:line="240" w:lineRule="auto"/>
              <w:ind w:firstLine="420"/>
              <w:jc w:val="center"/>
              <w:rPr>
                <w:rFonts w:ascii="仿宋_GB2312" w:eastAsia="仿宋_GB2312"/>
                <w:kern w:val="0"/>
              </w:rPr>
            </w:pPr>
          </w:p>
        </w:tc>
        <w:tc>
          <w:tcPr>
            <w:tcW w:w="768"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ind w:firstLine="420"/>
              <w:jc w:val="center"/>
              <w:rPr>
                <w:rFonts w:ascii="仿宋_GB2312" w:eastAsia="仿宋_GB2312"/>
                <w:kern w:val="0"/>
              </w:rPr>
            </w:pPr>
          </w:p>
        </w:tc>
        <w:tc>
          <w:tcPr>
            <w:tcW w:w="1153" w:type="dxa"/>
            <w:vAlign w:val="center"/>
          </w:tcPr>
          <w:p>
            <w:pPr>
              <w:spacing w:line="240" w:lineRule="auto"/>
              <w:ind w:firstLine="420"/>
              <w:jc w:val="center"/>
              <w:rPr>
                <w:rFonts w:ascii="仿宋_GB2312" w:eastAsia="仿宋_GB2312"/>
                <w:kern w:val="0"/>
              </w:rPr>
            </w:pPr>
          </w:p>
        </w:tc>
        <w:tc>
          <w:tcPr>
            <w:tcW w:w="1585" w:type="dxa"/>
            <w:vAlign w:val="center"/>
          </w:tcPr>
          <w:p>
            <w:pPr>
              <w:spacing w:line="240" w:lineRule="auto"/>
              <w:ind w:firstLine="420"/>
              <w:jc w:val="center"/>
              <w:rPr>
                <w:rFonts w:ascii="仿宋_GB2312" w:eastAsia="仿宋_GB2312"/>
                <w:kern w:val="0"/>
              </w:rPr>
            </w:pPr>
          </w:p>
        </w:tc>
        <w:tc>
          <w:tcPr>
            <w:tcW w:w="629" w:type="dxa"/>
            <w:vAlign w:val="center"/>
          </w:tcPr>
          <w:p>
            <w:pPr>
              <w:spacing w:line="240" w:lineRule="auto"/>
              <w:ind w:firstLine="420"/>
              <w:jc w:val="center"/>
              <w:rPr>
                <w:rFonts w:ascii="仿宋_GB2312" w:eastAsia="仿宋_GB2312"/>
                <w:kern w:val="0"/>
              </w:rPr>
            </w:pPr>
          </w:p>
        </w:tc>
        <w:tc>
          <w:tcPr>
            <w:tcW w:w="768"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153" w:type="dxa"/>
            <w:vAlign w:val="center"/>
          </w:tcPr>
          <w:p>
            <w:pPr>
              <w:spacing w:line="240" w:lineRule="auto"/>
              <w:ind w:firstLine="420"/>
              <w:jc w:val="center"/>
              <w:rPr>
                <w:rFonts w:ascii="仿宋_GB2312" w:eastAsia="仿宋_GB2312"/>
                <w:kern w:val="0"/>
              </w:rPr>
            </w:pPr>
          </w:p>
        </w:tc>
        <w:tc>
          <w:tcPr>
            <w:tcW w:w="1585" w:type="dxa"/>
            <w:vAlign w:val="center"/>
          </w:tcPr>
          <w:p>
            <w:pPr>
              <w:spacing w:line="240" w:lineRule="auto"/>
              <w:ind w:firstLine="420"/>
              <w:jc w:val="center"/>
              <w:rPr>
                <w:rFonts w:ascii="仿宋_GB2312" w:eastAsia="仿宋_GB2312"/>
                <w:kern w:val="0"/>
              </w:rPr>
            </w:pPr>
          </w:p>
        </w:tc>
        <w:tc>
          <w:tcPr>
            <w:tcW w:w="629" w:type="dxa"/>
            <w:vAlign w:val="center"/>
          </w:tcPr>
          <w:p>
            <w:pPr>
              <w:spacing w:line="240" w:lineRule="auto"/>
              <w:ind w:firstLine="420"/>
              <w:jc w:val="center"/>
              <w:rPr>
                <w:rFonts w:ascii="仿宋_GB2312" w:eastAsia="仿宋_GB2312"/>
                <w:kern w:val="0"/>
              </w:rPr>
            </w:pPr>
          </w:p>
        </w:tc>
        <w:tc>
          <w:tcPr>
            <w:tcW w:w="768"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会员企业满意度</w:t>
            </w:r>
          </w:p>
        </w:tc>
        <w:tc>
          <w:tcPr>
            <w:tcW w:w="115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585"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629"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15</w:t>
            </w:r>
          </w:p>
        </w:tc>
        <w:tc>
          <w:tcPr>
            <w:tcW w:w="76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持续加强会员企业服务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153" w:type="dxa"/>
            <w:vAlign w:val="center"/>
          </w:tcPr>
          <w:p>
            <w:pPr>
              <w:spacing w:line="240" w:lineRule="auto"/>
              <w:ind w:firstLine="420"/>
              <w:jc w:val="center"/>
              <w:rPr>
                <w:rFonts w:ascii="仿宋_GB2312" w:eastAsia="仿宋_GB2312"/>
                <w:kern w:val="0"/>
              </w:rPr>
            </w:pPr>
          </w:p>
        </w:tc>
        <w:tc>
          <w:tcPr>
            <w:tcW w:w="1585" w:type="dxa"/>
            <w:vAlign w:val="center"/>
          </w:tcPr>
          <w:p>
            <w:pPr>
              <w:spacing w:line="240" w:lineRule="auto"/>
              <w:ind w:firstLine="420"/>
              <w:jc w:val="center"/>
              <w:rPr>
                <w:rFonts w:ascii="仿宋_GB2312" w:eastAsia="仿宋_GB2312"/>
                <w:kern w:val="0"/>
              </w:rPr>
            </w:pPr>
          </w:p>
        </w:tc>
        <w:tc>
          <w:tcPr>
            <w:tcW w:w="629" w:type="dxa"/>
            <w:vAlign w:val="center"/>
          </w:tcPr>
          <w:p>
            <w:pPr>
              <w:spacing w:line="240" w:lineRule="auto"/>
              <w:ind w:firstLine="420"/>
              <w:jc w:val="center"/>
              <w:rPr>
                <w:rFonts w:ascii="仿宋_GB2312" w:eastAsia="仿宋_GB2312"/>
                <w:kern w:val="0"/>
              </w:rPr>
            </w:pPr>
          </w:p>
        </w:tc>
        <w:tc>
          <w:tcPr>
            <w:tcW w:w="768"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153" w:type="dxa"/>
            <w:vAlign w:val="center"/>
          </w:tcPr>
          <w:p>
            <w:pPr>
              <w:spacing w:line="240" w:lineRule="auto"/>
              <w:ind w:firstLine="420"/>
              <w:jc w:val="center"/>
              <w:rPr>
                <w:rFonts w:ascii="仿宋_GB2312" w:eastAsia="仿宋_GB2312"/>
                <w:kern w:val="0"/>
              </w:rPr>
            </w:pPr>
          </w:p>
        </w:tc>
        <w:tc>
          <w:tcPr>
            <w:tcW w:w="1585" w:type="dxa"/>
            <w:vAlign w:val="center"/>
          </w:tcPr>
          <w:p>
            <w:pPr>
              <w:spacing w:line="240" w:lineRule="auto"/>
              <w:ind w:firstLine="420"/>
              <w:jc w:val="center"/>
              <w:rPr>
                <w:rFonts w:ascii="仿宋_GB2312" w:eastAsia="仿宋_GB2312"/>
                <w:kern w:val="0"/>
              </w:rPr>
            </w:pPr>
          </w:p>
        </w:tc>
        <w:tc>
          <w:tcPr>
            <w:tcW w:w="629" w:type="dxa"/>
            <w:vAlign w:val="center"/>
          </w:tcPr>
          <w:p>
            <w:pPr>
              <w:spacing w:line="240" w:lineRule="auto"/>
              <w:ind w:firstLine="420"/>
              <w:jc w:val="center"/>
              <w:rPr>
                <w:rFonts w:ascii="仿宋_GB2312" w:eastAsia="仿宋_GB2312"/>
                <w:kern w:val="0"/>
              </w:rPr>
            </w:pPr>
          </w:p>
        </w:tc>
        <w:tc>
          <w:tcPr>
            <w:tcW w:w="768"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ind w:firstLine="420"/>
              <w:jc w:val="center"/>
              <w:rPr>
                <w:rFonts w:ascii="仿宋_GB2312" w:eastAsia="仿宋_GB2312"/>
                <w:kern w:val="0"/>
              </w:rPr>
            </w:pPr>
          </w:p>
        </w:tc>
        <w:tc>
          <w:tcPr>
            <w:tcW w:w="1153" w:type="dxa"/>
            <w:vAlign w:val="center"/>
          </w:tcPr>
          <w:p>
            <w:pPr>
              <w:spacing w:line="240" w:lineRule="auto"/>
              <w:ind w:firstLine="420"/>
              <w:jc w:val="center"/>
              <w:rPr>
                <w:rFonts w:ascii="仿宋_GB2312" w:eastAsia="仿宋_GB2312"/>
                <w:kern w:val="0"/>
              </w:rPr>
            </w:pPr>
          </w:p>
        </w:tc>
        <w:tc>
          <w:tcPr>
            <w:tcW w:w="1585" w:type="dxa"/>
            <w:vAlign w:val="center"/>
          </w:tcPr>
          <w:p>
            <w:pPr>
              <w:spacing w:line="240" w:lineRule="auto"/>
              <w:ind w:firstLine="420"/>
              <w:jc w:val="center"/>
              <w:rPr>
                <w:rFonts w:ascii="仿宋_GB2312" w:eastAsia="仿宋_GB2312"/>
                <w:kern w:val="0"/>
              </w:rPr>
            </w:pPr>
          </w:p>
        </w:tc>
        <w:tc>
          <w:tcPr>
            <w:tcW w:w="629" w:type="dxa"/>
            <w:vAlign w:val="center"/>
          </w:tcPr>
          <w:p>
            <w:pPr>
              <w:spacing w:line="240" w:lineRule="auto"/>
              <w:ind w:firstLine="420"/>
              <w:jc w:val="center"/>
              <w:rPr>
                <w:rFonts w:ascii="仿宋_GB2312" w:eastAsia="仿宋_GB2312"/>
                <w:kern w:val="0"/>
              </w:rPr>
            </w:pPr>
          </w:p>
        </w:tc>
        <w:tc>
          <w:tcPr>
            <w:tcW w:w="768"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ind w:firstLine="420"/>
              <w:jc w:val="center"/>
              <w:rPr>
                <w:rFonts w:ascii="仿宋_GB2312" w:eastAsia="仿宋_GB2312"/>
                <w:kern w:val="0"/>
              </w:rPr>
            </w:pPr>
          </w:p>
        </w:tc>
        <w:tc>
          <w:tcPr>
            <w:tcW w:w="1153" w:type="dxa"/>
            <w:vAlign w:val="center"/>
          </w:tcPr>
          <w:p>
            <w:pPr>
              <w:spacing w:line="240" w:lineRule="auto"/>
              <w:ind w:firstLine="420"/>
              <w:jc w:val="center"/>
              <w:rPr>
                <w:rFonts w:ascii="仿宋_GB2312" w:eastAsia="仿宋_GB2312"/>
                <w:kern w:val="0"/>
              </w:rPr>
            </w:pPr>
          </w:p>
        </w:tc>
        <w:tc>
          <w:tcPr>
            <w:tcW w:w="1585" w:type="dxa"/>
            <w:vAlign w:val="center"/>
          </w:tcPr>
          <w:p>
            <w:pPr>
              <w:spacing w:line="240" w:lineRule="auto"/>
              <w:ind w:firstLine="420"/>
              <w:jc w:val="center"/>
              <w:rPr>
                <w:rFonts w:ascii="仿宋_GB2312" w:eastAsia="仿宋_GB2312"/>
                <w:kern w:val="0"/>
              </w:rPr>
            </w:pPr>
          </w:p>
        </w:tc>
        <w:tc>
          <w:tcPr>
            <w:tcW w:w="629" w:type="dxa"/>
            <w:vAlign w:val="center"/>
          </w:tcPr>
          <w:p>
            <w:pPr>
              <w:spacing w:line="240" w:lineRule="auto"/>
              <w:ind w:firstLine="420"/>
              <w:jc w:val="center"/>
              <w:rPr>
                <w:rFonts w:ascii="仿宋_GB2312" w:eastAsia="仿宋_GB2312"/>
                <w:kern w:val="0"/>
              </w:rPr>
            </w:pPr>
          </w:p>
        </w:tc>
        <w:tc>
          <w:tcPr>
            <w:tcW w:w="768"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ind w:firstLine="420"/>
              <w:jc w:val="center"/>
              <w:rPr>
                <w:rFonts w:ascii="仿宋_GB2312" w:eastAsia="仿宋_GB2312"/>
                <w:kern w:val="0"/>
              </w:rPr>
            </w:pPr>
          </w:p>
        </w:tc>
        <w:tc>
          <w:tcPr>
            <w:tcW w:w="1153" w:type="dxa"/>
            <w:vAlign w:val="center"/>
          </w:tcPr>
          <w:p>
            <w:pPr>
              <w:spacing w:line="240" w:lineRule="auto"/>
              <w:ind w:firstLine="420"/>
              <w:jc w:val="center"/>
              <w:rPr>
                <w:rFonts w:ascii="仿宋_GB2312" w:eastAsia="仿宋_GB2312"/>
                <w:kern w:val="0"/>
              </w:rPr>
            </w:pPr>
          </w:p>
        </w:tc>
        <w:tc>
          <w:tcPr>
            <w:tcW w:w="1585" w:type="dxa"/>
            <w:vAlign w:val="center"/>
          </w:tcPr>
          <w:p>
            <w:pPr>
              <w:spacing w:line="240" w:lineRule="auto"/>
              <w:ind w:firstLine="420"/>
              <w:jc w:val="center"/>
              <w:rPr>
                <w:rFonts w:ascii="仿宋_GB2312" w:eastAsia="仿宋_GB2312"/>
                <w:kern w:val="0"/>
              </w:rPr>
            </w:pPr>
          </w:p>
        </w:tc>
        <w:tc>
          <w:tcPr>
            <w:tcW w:w="629" w:type="dxa"/>
            <w:vAlign w:val="center"/>
          </w:tcPr>
          <w:p>
            <w:pPr>
              <w:spacing w:line="240" w:lineRule="auto"/>
              <w:ind w:firstLine="420"/>
              <w:jc w:val="center"/>
              <w:rPr>
                <w:rFonts w:ascii="仿宋_GB2312" w:eastAsia="仿宋_GB2312"/>
                <w:kern w:val="0"/>
              </w:rPr>
            </w:pPr>
          </w:p>
        </w:tc>
        <w:tc>
          <w:tcPr>
            <w:tcW w:w="768"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159"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2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76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rPr>
          <w:rFonts w:hint="eastAsia" w:ascii="宋体" w:hAnsi="宋体" w:eastAsia="宋体" w:cs="宋体"/>
          <w:bCs/>
          <w:snapToGrid w:val="0"/>
          <w:color w:val="000000"/>
          <w:spacing w:val="-4"/>
          <w:sz w:val="28"/>
          <w:szCs w:val="28"/>
          <w:lang w:val="en-US" w:eastAsia="zh-CN" w:bidi="ar-SA"/>
        </w:rPr>
      </w:pPr>
      <w:r>
        <w:rPr>
          <w:rFonts w:hint="eastAsia" w:ascii="宋体" w:hAnsi="宋体" w:eastAsia="宋体" w:cs="宋体"/>
          <w:bCs/>
          <w:snapToGrid w:val="0"/>
          <w:color w:val="000000"/>
          <w:spacing w:val="-4"/>
          <w:sz w:val="28"/>
          <w:szCs w:val="28"/>
          <w:lang w:val="en-US" w:eastAsia="zh-CN" w:bidi="ar-SA"/>
        </w:rPr>
        <w:br w:type="page"/>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p>
        </w:tc>
        <w:tc>
          <w:tcPr>
            <w:tcW w:w="4140" w:type="dxa"/>
            <w:gridSpan w:val="4"/>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汨罗市工商业联合会</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hint="eastAsia" w:ascii="黑体" w:hAnsi="黑体" w:eastAsia="黑体" w:cs="黑体"/>
          <w:spacing w:val="-60"/>
          <w:sz w:val="40"/>
          <w:szCs w:val="40"/>
          <w:lang w:val="en-US" w:eastAsia="zh-CN"/>
        </w:rPr>
        <w:t>工商业联合会</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2"/>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工商联是中国共产党领导的具有统一战线性质的人民团体和民间商会，是党和政府联系非公有制经济人士的桥梁和纽带，是政府管理和服务非公有制经济的助手，单位人员编制数为5人，现有人数17人，其中在职12人，退休5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2022年度财政拨款基本支出205.79万元，其中：</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人员经费157.12万元，占基本支出的76.4%,主要包括基本工资、津贴补贴、奖金、伙食补助费、绩效工资、机关事业单位基本养老保险缴费、职工基本医疗保险缴费、其他社会保障缴费、住房公积金、退休费、生活补助、其他对个人和家庭的补助。</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公用经费48.67万元，占基本支出的23.6%，主要包括办公费、印刷费、水费、电费、邮电费、物业管理费、差旅费、维修（护）费、租赁费、会议费、公务接待费、工会经费、其他交通费用、其他商品和服务支出。</w:t>
      </w:r>
    </w:p>
    <w:p>
      <w:pPr>
        <w:pStyle w:val="9"/>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w:t>
      </w:r>
      <w:r>
        <w:rPr>
          <w:rFonts w:hint="eastAsia" w:ascii="Arial" w:hAnsi="Arial" w:eastAsia="仿宋_GB2312" w:cs="Arial"/>
          <w:snapToGrid w:val="0"/>
          <w:color w:val="000000"/>
          <w:kern w:val="0"/>
          <w:sz w:val="32"/>
          <w:szCs w:val="32"/>
          <w:lang w:val="en-US" w:eastAsia="zh-CN" w:bidi="ar-SA"/>
        </w:rPr>
        <w:t>出情况：项目支出44.52万元。</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方正黑体_GBK" w:eastAsia="方正黑体_GBK"/>
          <w:kern w:val="0"/>
          <w:sz w:val="32"/>
          <w:szCs w:val="32"/>
          <w:lang w:eastAsia="zh-CN"/>
        </w:rPr>
      </w:pPr>
      <w:r>
        <w:rPr>
          <w:rFonts w:hint="eastAsia" w:ascii="Arial" w:hAnsi="Arial" w:eastAsia="仿宋_GB2312" w:cs="Arial"/>
          <w:snapToGrid w:val="0"/>
          <w:color w:val="000000"/>
          <w:kern w:val="0"/>
          <w:sz w:val="32"/>
          <w:szCs w:val="32"/>
          <w:lang w:val="en-US" w:eastAsia="zh-CN" w:bidi="ar-SA"/>
        </w:rPr>
        <w:t>2022年度我单位无政府性基金预算收支。</w:t>
      </w:r>
    </w:p>
    <w:p>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pStyle w:val="10"/>
        <w:keepNext w:val="0"/>
        <w:keepLines w:val="0"/>
        <w:pageBreakBefore w:val="0"/>
        <w:widowControl w:val="0"/>
        <w:numPr>
          <w:ilvl w:val="0"/>
          <w:numId w:val="0"/>
        </w:numPr>
        <w:kinsoku/>
        <w:wordWrap/>
        <w:overflowPunct/>
        <w:topLinePunct w:val="0"/>
        <w:bidi w:val="0"/>
        <w:snapToGrid/>
        <w:spacing w:line="600" w:lineRule="exact"/>
        <w:ind w:firstLine="900" w:firstLineChars="300"/>
        <w:textAlignment w:val="auto"/>
        <w:rPr>
          <w:rFonts w:hint="eastAsia" w:ascii="方正黑体_GBK" w:eastAsia="方正黑体_GBK"/>
          <w:kern w:val="0"/>
          <w:sz w:val="32"/>
          <w:szCs w:val="32"/>
          <w:lang w:eastAsia="zh-CN"/>
        </w:rPr>
      </w:pPr>
      <w:r>
        <w:rPr>
          <w:rFonts w:hint="eastAsia" w:ascii="宋体" w:hAnsi="宋体" w:eastAsia="宋体" w:cs="宋体"/>
          <w:sz w:val="30"/>
          <w:szCs w:val="30"/>
          <w:lang w:val="en-US" w:eastAsia="zh-CN"/>
        </w:rPr>
        <w:t>2022年度我单位无国有资本经营预算收支。</w:t>
      </w:r>
    </w:p>
    <w:p>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numPr>
          <w:ilvl w:val="0"/>
          <w:numId w:val="0"/>
        </w:numPr>
        <w:spacing w:line="600" w:lineRule="exact"/>
        <w:ind w:leftChars="200" w:firstLine="300" w:firstLineChars="100"/>
        <w:jc w:val="both"/>
        <w:rPr>
          <w:rFonts w:hint="default" w:ascii="宋体" w:hAnsi="宋体" w:eastAsia="宋体" w:cs="宋体"/>
          <w:snapToGrid/>
          <w:color w:val="000000"/>
          <w:kern w:val="0"/>
          <w:sz w:val="30"/>
          <w:szCs w:val="30"/>
          <w:lang w:val="en-US" w:eastAsia="zh-CN" w:bidi="ar-SA"/>
        </w:rPr>
      </w:pPr>
      <w:r>
        <w:rPr>
          <w:rFonts w:hint="eastAsia" w:ascii="宋体" w:hAnsi="宋体" w:eastAsia="宋体" w:cs="宋体"/>
          <w:snapToGrid/>
          <w:color w:val="000000"/>
          <w:kern w:val="0"/>
          <w:sz w:val="30"/>
          <w:szCs w:val="30"/>
          <w:lang w:val="en-US" w:eastAsia="zh-CN" w:bidi="ar-SA"/>
        </w:rPr>
        <w:t>无</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根据部门整体支出绩效评价的要求，我联按照整体支出绩效评价指标进行分析，成立了评价工作领导小组，评价等次为优秀，具体情况如下：</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）、2022年度工作任务完成情况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会员发展情况。大力招贤纳才，今年新发展会员 169 个，会员总数达 1843 个，其中团体会员10个，企业会员  1713个，会员队伍结构更加优化，质量更加优良。</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“万企兴万村”行动推进情况。积极动员引导全市民营企业参与“万企兴万村”行动，已录入系统企业103家，项目127个，资金1.28亿元。</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“企业家沙龙”活动开展情况。今年已组织开展“企业家沙龙”活动5次，收集问题（建议）67个，各承办责任部门积极办理，现已办结28个。</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）2022年特色亮点工作</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精心筹组沙龙活动。坚持把办好“企业家沙龙”作为服务抓手和工作品牌在汨罗市委市政府的重视支持下，先后举办5期沙龙活动，即乡镇商会、非金属新材料产业链、电子信息产业链、有色金属产业链、工程机械及汽车零部件产业链等5个专场。40多名位企业家与书记、市长等市领导面对面交流，谈诉求，提建议，找症结，谋良方，共商汨罗高质量发展之路。沙龙活动结束后，我联迅速对企业家的意见建议进行梳理，形成问题清单上报市委，市委主要领导亲自批示，市委督查室向相关单位下发交办函，我联和市委统战部积极做好对接协调，推动为企业排忧解难。经统计，前5期沙龙活动67个问题（建议）已办结 28个，前期办理成效明显但需长期坚持的（如人才引进、研发支持等）13个，尚在办理的16个，因政策或其他因素制约暂时难以解决已做解释说明的10个。</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 主动服务乡村振兴。牵头制定操作性强的《“万企兴万村”行动方案》，组织召开推进会，举办乡镇专干培训班，大张旗鼓地表彰参与行动的爱心企业，营造鼓励支持民营企业参乡村振兴的浓厚氛围。落实上级帮扶集体经济薄弱村工作要求，精准对接27家民营企业帮扶25个集体经济薄弱村，实现薄弱村帮扶全覆盖。桃林寺镇商会副会长黄吉光投资600多万元支持高丰村全域改造农田3300多亩，其参与创造的“小田变大田”、“低产变丰产”的“高丰模式”被央视《焦点访谈》宣传报道。今年我市已录入全联系统参与“万企兴万村”行动企业103家，实施项目127个，投入资金1.28亿元，位居岳阳市前列。</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深入开展走访调研。我们坚持常态化走访，深入60多家企业走访调研，了解企业生产经营情况，指导疫情防控工作，宣传各项惠企政策，收集相关意见建议18条，协调解决实际问题11个。我们组成专门班子，先后组织开展乡镇商会服务乡村振兴、全市铜铝产业发展和城区房地产业发展情况调研，形成《凝聚商会力量助推产业振兴》等专题调研报告，积极发挥建言献策作用。</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积极参与招商引资。推动岳阳青商会来汨开展游学考察，搭建了解汨罗产业特色和地域文化的交流平台；精心做好广东汨罗商会换届大会暨汨罗市招商项目推介会和全市农业、文旅项目集中签约活动的组织协调工作；发挥“亲情、乡情、友情”的纽带作用，持续开展“迎老乡、回故乡、建家乡”活动，全面摸清、收集寓外乡友信息，建立乡友“项目库”，以企引企，以商招商，今年新签约湘商回归项目29个，合同引资金额96.641亿元。</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 坚持抓实教育引导。开展清廉民企示范点建设行动，推动金盾支部创建为岳阳市级非公标杆支部，指导5个直属支部创新“四亮”主题实践，金盾保安支部今年共计派驻各隔离点参与疫情防控工作1000余人次，佛山汨罗商会支部组织党员志愿者劝返、报备排查返乡人员110人次，安排接待返乡隔离人员22人次。名誉会长、湖南友阿商投总裁黄勇光及公司捐赠260万元支持屈子祠镇范家园中心小学建起高标准运动场；佛山汨罗商会会长熊六军、总顾问李再荣，弼时镇商会会长彭令分，桃林寺镇商会会长李伟雄、广东商会秘书长刘艳新等均为我市教育捐款100万元。今年全市民营企业捐赠教育发展基金近3000万元。今年10月我市发生新冠疫情，我联第一时间发出倡议，广大民营企业闻令而动，积极捐赠防疫物资，真情慰问防疫人员、主动参与志愿服务，如：执委企业楚雄环保捐献口罩80万个，广东汨罗商会彭门玉会长捐赠7万多元防疫物资，深圳汨罗商会捐赠5万元抗疫爱心款，会员单位豪码头、曾小妹等连续多天为一线防疫人员爱心送餐，为助力我市打赢疫情防控战贡献了力量。</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1、</w:t>
      </w:r>
      <w:r>
        <w:rPr>
          <w:rFonts w:hint="eastAsia" w:eastAsia="仿宋_GB2312"/>
          <w:kern w:val="0"/>
          <w:sz w:val="32"/>
          <w:szCs w:val="32"/>
          <w:lang w:val="en-US" w:eastAsia="zh-CN"/>
        </w:rPr>
        <w:t>预算编制的科学性、严谨性、可控性需要进一步加强。</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2</w:t>
      </w:r>
      <w:r>
        <w:rPr>
          <w:rFonts w:hint="eastAsia" w:eastAsia="仿宋_GB2312"/>
          <w:kern w:val="0"/>
          <w:sz w:val="32"/>
          <w:szCs w:val="32"/>
          <w:lang w:eastAsia="zh-CN"/>
        </w:rPr>
        <w:t>、</w:t>
      </w:r>
      <w:r>
        <w:rPr>
          <w:rFonts w:hint="eastAsia" w:eastAsia="仿宋_GB2312"/>
          <w:kern w:val="0"/>
          <w:sz w:val="32"/>
          <w:szCs w:val="32"/>
          <w:lang w:val="en-US" w:eastAsia="zh-CN"/>
        </w:rPr>
        <w:t>绩效考核指标科学性、可量化性需要进一步加强</w:t>
      </w:r>
      <w:r>
        <w:rPr>
          <w:rFonts w:hint="eastAsia" w:eastAsia="仿宋_GB2312"/>
          <w:kern w:val="0"/>
          <w:sz w:val="32"/>
          <w:szCs w:val="32"/>
          <w:lang w:eastAsia="zh-CN"/>
        </w:rPr>
        <w:t>。</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1、细化预算编制工作，认真做好预算的编制。严格按照预算编制的相关制度和要求进行预算编制，全面编制预算项目，优先保障固定性的相对刚性的费用支出项目，进一步提高预算编制的科学性、严谨性和可控性。</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2</w:t>
      </w:r>
      <w:r>
        <w:rPr>
          <w:rFonts w:hint="eastAsia" w:eastAsia="仿宋_GB2312"/>
          <w:kern w:val="0"/>
          <w:sz w:val="32"/>
          <w:szCs w:val="32"/>
          <w:lang w:eastAsia="zh-CN"/>
        </w:rPr>
        <w:t>、持续抓好“三公经费”，控制管理。严格控制“三公经费”的规模和比例，把关“三公经费”支出的审核、审批，进一步细化“三公经费”的管理，合理压缩“三公经费”的支出。</w:t>
      </w:r>
    </w:p>
    <w:p>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val="en-US" w:eastAsia="zh-CN"/>
        </w:rPr>
        <w:t>3</w:t>
      </w:r>
      <w:r>
        <w:rPr>
          <w:rFonts w:hint="eastAsia" w:eastAsia="仿宋_GB2312"/>
          <w:kern w:val="0"/>
          <w:sz w:val="32"/>
          <w:szCs w:val="32"/>
          <w:lang w:eastAsia="zh-CN"/>
        </w:rPr>
        <w:t>、加大财政保障和支持力度，对政策性经费支出足额安排预算，保证刚性支出，并按实追加部分经费补助</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按要求公开</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bookmarkStart w:id="0" w:name="_GoBack"/>
      <w:bookmarkEnd w:id="0"/>
    </w:p>
    <w:sectPr>
      <w:footerReference r:id="rId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A0C23"/>
    <w:multiLevelType w:val="singleLevel"/>
    <w:tmpl w:val="98FA0C23"/>
    <w:lvl w:ilvl="0" w:tentative="0">
      <w:start w:val="1"/>
      <w:numFmt w:val="chineseCounting"/>
      <w:suff w:val="nothing"/>
      <w:lvlText w:val="%1、"/>
      <w:lvlJc w:val="left"/>
      <w:rPr>
        <w:rFonts w:hint="eastAsia"/>
      </w:rPr>
    </w:lvl>
  </w:abstractNum>
  <w:abstractNum w:abstractNumId="1">
    <w:nsid w:val="CF8BC06C"/>
    <w:multiLevelType w:val="singleLevel"/>
    <w:tmpl w:val="CF8BC06C"/>
    <w:lvl w:ilvl="0" w:tentative="0">
      <w:start w:val="1"/>
      <w:numFmt w:val="decimal"/>
      <w:lvlText w:val="%1."/>
      <w:lvlJc w:val="left"/>
      <w:pPr>
        <w:tabs>
          <w:tab w:val="left" w:pos="312"/>
        </w:tabs>
      </w:pPr>
    </w:lvl>
  </w:abstractNum>
  <w:abstractNum w:abstractNumId="2">
    <w:nsid w:val="2BAE043B"/>
    <w:multiLevelType w:val="singleLevel"/>
    <w:tmpl w:val="2BAE043B"/>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Y4MDc4OTkyMjI4M2FkYTgzNjY0ZTdjZmUxYzE0ZDcifQ=="/>
  </w:docVars>
  <w:rsids>
    <w:rsidRoot w:val="00000000"/>
    <w:rsid w:val="01AF3811"/>
    <w:rsid w:val="03795BF7"/>
    <w:rsid w:val="086E756B"/>
    <w:rsid w:val="0ACF37E5"/>
    <w:rsid w:val="0B400BC6"/>
    <w:rsid w:val="0E68228D"/>
    <w:rsid w:val="138E4EDD"/>
    <w:rsid w:val="15276E52"/>
    <w:rsid w:val="19D32FBC"/>
    <w:rsid w:val="1E6A4395"/>
    <w:rsid w:val="25557A3D"/>
    <w:rsid w:val="26EA5ED7"/>
    <w:rsid w:val="27A93B82"/>
    <w:rsid w:val="2AE00186"/>
    <w:rsid w:val="308216BE"/>
    <w:rsid w:val="34FE1149"/>
    <w:rsid w:val="3A550786"/>
    <w:rsid w:val="3B7A130F"/>
    <w:rsid w:val="4F8B6063"/>
    <w:rsid w:val="52FA3F96"/>
    <w:rsid w:val="55850F17"/>
    <w:rsid w:val="57AE6D93"/>
    <w:rsid w:val="5FB623A7"/>
    <w:rsid w:val="6D0B4AC8"/>
    <w:rsid w:val="6E3851B0"/>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4286</Words>
  <Characters>4659</Characters>
  <TotalTime>43</TotalTime>
  <ScaleCrop>false</ScaleCrop>
  <LinksUpToDate>false</LinksUpToDate>
  <CharactersWithSpaces>4838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杨奇</cp:lastModifiedBy>
  <cp:lastPrinted>2024-05-21T14:05:00Z</cp:lastPrinted>
  <dcterms:modified xsi:type="dcterms:W3CDTF">2024-07-19T01:09:35Z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A1E9AC54BF58440288AD196632C2A254_12</vt:lpwstr>
  </property>
</Properties>
</file>