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12.52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2021年湖南汨罗工业园长沙飞地园管理中心本级专项经费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w:t>
            </w: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spacing w:before="128" w:line="201" w:lineRule="auto"/>
              <w:jc w:val="both"/>
              <w:rPr>
                <w:rFonts w:hint="eastAsia" w:ascii="Arial" w:hAnsi="Arial" w:eastAsia="仿宋_GB2312" w:cs="Arial"/>
                <w:snapToGrid w:val="0"/>
                <w:color w:val="000000"/>
                <w:sz w:val="21"/>
                <w:szCs w:val="21"/>
                <w:lang w:val="en-US" w:eastAsia="zh-CN" w:bidi="ar-SA"/>
              </w:rPr>
            </w:pPr>
            <w:r>
              <w:rPr>
                <w:rFonts w:hint="eastAsia" w:ascii="仿宋_GB2312" w:hAnsi="宋体" w:eastAsia="仿宋_GB2312" w:cs="宋体"/>
                <w:kern w:val="0"/>
                <w:lang w:val="en-US" w:eastAsia="en-US"/>
              </w:rPr>
              <w:t>1、加强宣传教育、树立节约意识</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2、优化资源配置、减少浪费现象</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3、推行绿色办公、降低运转成本</w:t>
            </w:r>
            <w:r>
              <w:rPr>
                <w:rFonts w:hint="eastAsia" w:ascii="仿宋_GB2312" w:hAnsi="宋体" w:eastAsia="仿宋_GB2312" w:cs="宋体"/>
                <w:kern w:val="0"/>
                <w:lang w:val="en-US" w:eastAsia="zh-CN"/>
              </w:rPr>
              <w:t>；</w:t>
            </w:r>
            <w:r>
              <w:rPr>
                <w:rFonts w:hint="eastAsia" w:ascii="仿宋_GB2312" w:hAnsi="宋体" w:eastAsia="仿宋_GB2312" w:cs="宋体"/>
                <w:kern w:val="0"/>
                <w:lang w:val="en-US" w:eastAsia="en-US"/>
              </w:rPr>
              <w:t>4、建立监督机制、确保措施落实</w:t>
            </w:r>
            <w:r>
              <w:rPr>
                <w:rFonts w:hint="eastAsia" w:ascii="仿宋_GB2312" w:hAnsi="宋体" w:eastAsia="仿宋_GB2312" w:cs="宋体"/>
                <w:kern w:val="0"/>
                <w:sz w:val="24"/>
                <w:szCs w:val="24"/>
                <w:lang w:eastAsia="zh-CN"/>
              </w:rPr>
              <w:t>。</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383"/>
        <w:gridCol w:w="1164"/>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湖南汨罗高新技术产业开发区长沙飞地园管理办公室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38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164"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8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202.07</w:t>
            </w:r>
          </w:p>
        </w:tc>
        <w:tc>
          <w:tcPr>
            <w:tcW w:w="1164"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213.74</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213.74</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213.74</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63.74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eastAsia="仿宋_GB2312"/>
                <w:kern w:val="0"/>
              </w:rPr>
              <w:t>1：加强向上汇报对接，推进重点难点工作。2：理顺园区管理机制，凝聚合力共谋发展。3：贯彻落实围墙法则，不断优化营商环境。4：全力以赴招大引强，着力提升园区质量。5：发挥党建引领作用，统筹落实全面工作。</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eastAsia="仿宋_GB2312"/>
                <w:kern w:val="0"/>
              </w:rPr>
              <w:t>1：加强向上汇报对接，推进重点难点工作。2：理顺园区管理机制，凝聚合力共谋发展。3：贯彻落实围墙法则，不断优化营商环境。4：全力以赴招大引强，着力提升园区质量。5：发挥党建引领作用，统筹落实全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8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16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做好招商引资服务，打造安全生产、治安无事故、环保达标、配套设施齐全的湖南工程机械配套产业园</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引进企业</w:t>
            </w:r>
            <w:r>
              <w:rPr>
                <w:rFonts w:hint="eastAsia" w:ascii="仿宋_GB2312" w:eastAsia="仿宋_GB2312"/>
                <w:kern w:val="0"/>
                <w:lang w:val="en-US" w:eastAsia="zh-CN"/>
              </w:rPr>
              <w:t>3</w:t>
            </w:r>
            <w:r>
              <w:rPr>
                <w:rFonts w:hint="eastAsia" w:ascii="仿宋_GB2312" w:eastAsia="仿宋_GB2312"/>
                <w:kern w:val="0"/>
              </w:rPr>
              <w:t>0家，安全生产、环保达标</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园区税收持续成长</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税收任务：1</w:t>
            </w:r>
            <w:r>
              <w:rPr>
                <w:rFonts w:hint="eastAsia" w:ascii="仿宋_GB2312" w:eastAsia="仿宋_GB2312"/>
                <w:kern w:val="0"/>
                <w:lang w:val="en-US" w:eastAsia="zh-CN"/>
              </w:rPr>
              <w:t>0000</w:t>
            </w:r>
            <w:r>
              <w:rPr>
                <w:rFonts w:hint="eastAsia" w:ascii="仿宋_GB2312" w:eastAsia="仿宋_GB2312"/>
                <w:kern w:val="0"/>
              </w:rPr>
              <w:t>万元</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税收入库1</w:t>
            </w:r>
            <w:r>
              <w:rPr>
                <w:rFonts w:hint="eastAsia" w:ascii="仿宋_GB2312" w:eastAsia="仿宋_GB2312"/>
                <w:kern w:val="0"/>
                <w:lang w:val="en-US" w:eastAsia="zh-CN"/>
              </w:rPr>
              <w:t>0091</w:t>
            </w:r>
            <w:r>
              <w:rPr>
                <w:rFonts w:hint="eastAsia" w:ascii="仿宋_GB2312" w:eastAsia="仿宋_GB2312"/>
                <w:kern w:val="0"/>
              </w:rPr>
              <w:t>万元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8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2022年</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2023年1月1日-12月31日</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2023年1月1日-12月31日</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园区经济可持续发展</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确保园区税收与财政收人平稳增长</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推动园区企业发展，提高就业率</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安排就业人员3000人</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安排就业人员3000人</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hint="default" w:ascii="仿宋_GB2312" w:eastAsia="仿宋_GB2312"/>
                <w:kern w:val="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园区企业环保达标</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园区环境卫生，环保达标，验收合格</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eastAsia="zh-CN"/>
              </w:rPr>
              <w:t>生态环境验收合格</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园区确保可持续发展和建设</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推动园区企业市场化，推动园区可持续发展和建设</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推动园区企业市场化，推动园区可持续发展和建设</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83" w:type="dxa"/>
            <w:tcBorders>
              <w:left w:val="single" w:color="auto"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rPr>
              <w:t>园区企业，周边群众满意度100%</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园区企业，周边群众满意度100%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园区企业，周边群众满意度100%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全年成本</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全年预算</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全年控制在预算内</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社会影响力</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园区全年无负面舆论及事件</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园区全年无负面舆论及事件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8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环境卫生和环保</w:t>
            </w:r>
          </w:p>
        </w:tc>
        <w:tc>
          <w:tcPr>
            <w:tcW w:w="116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环境卫生和环保达标</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环境卫生和环保达标</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ascii="宋体" w:hAnsi="宋体" w:eastAsia="宋体" w:cs="宋体"/>
          <w:bCs/>
          <w:spacing w:val="-4"/>
          <w:kern w:val="0"/>
          <w:sz w:val="28"/>
          <w:szCs w:val="28"/>
          <w:lang w:eastAsia="zh-CN"/>
        </w:rPr>
      </w:pPr>
      <w:bookmarkStart w:id="0" w:name="_GoBack"/>
      <w:bookmarkEnd w:id="0"/>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年度湖南汨罗高新技术产业开发区长沙飞地园管理办公室部门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r>
        <w:rPr>
          <w:rFonts w:hint="eastAsia" w:ascii="方正小标宋简体" w:hAnsi="宋体" w:eastAsia="方正小标宋简体" w:cs="宋体"/>
          <w:kern w:val="0"/>
          <w:sz w:val="44"/>
          <w:szCs w:val="44"/>
          <w:lang w:val="en-US" w:eastAsia="zh-CN"/>
        </w:rPr>
        <w:t xml:space="preserve">            </w:t>
      </w: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line="240" w:lineRule="auto"/>
        <w:jc w:val="center"/>
        <w:rPr>
          <w:rFonts w:ascii="黑体" w:hAnsi="黑体" w:eastAsia="黑体" w:cs="黑体"/>
          <w:spacing w:val="16"/>
          <w:sz w:val="40"/>
          <w:szCs w:val="40"/>
          <w:lang w:eastAsia="zh-CN"/>
        </w:rPr>
      </w:pPr>
      <w:r>
        <w:rPr>
          <w:rFonts w:hint="eastAsia" w:ascii="黑体" w:hAnsi="黑体" w:eastAsia="黑体" w:cs="黑体"/>
          <w:spacing w:val="16"/>
          <w:sz w:val="40"/>
          <w:szCs w:val="40"/>
          <w:lang w:eastAsia="zh-CN"/>
        </w:rPr>
        <w:t>202</w:t>
      </w:r>
      <w:r>
        <w:rPr>
          <w:rFonts w:hint="eastAsia" w:ascii="黑体" w:hAnsi="黑体" w:eastAsia="黑体" w:cs="黑体"/>
          <w:spacing w:val="16"/>
          <w:sz w:val="40"/>
          <w:szCs w:val="40"/>
          <w:lang w:val="en-US" w:eastAsia="zh-CN"/>
        </w:rPr>
        <w:t>2</w:t>
      </w:r>
      <w:r>
        <w:rPr>
          <w:rFonts w:hint="eastAsia" w:ascii="黑体" w:hAnsi="黑体" w:eastAsia="黑体" w:cs="黑体"/>
          <w:spacing w:val="16"/>
          <w:sz w:val="40"/>
          <w:szCs w:val="40"/>
          <w:lang w:eastAsia="zh-CN"/>
        </w:rPr>
        <w:t>年度湖南汨罗高新技术产业开发区长沙飞地园管理办公室部门(单位)整体支出</w:t>
      </w:r>
      <w:r>
        <w:rPr>
          <w:rFonts w:hint="eastAsia" w:ascii="黑体" w:hAnsi="黑体" w:eastAsia="黑体" w:cs="黑体"/>
          <w:spacing w:val="16"/>
          <w:sz w:val="40"/>
          <w:szCs w:val="40"/>
          <w:lang w:val="en-US" w:eastAsia="zh-CN"/>
        </w:rPr>
        <w:t xml:space="preserve">        </w:t>
      </w:r>
      <w:r>
        <w:rPr>
          <w:rFonts w:hint="eastAsia" w:ascii="黑体" w:hAnsi="黑体" w:eastAsia="黑体" w:cs="黑体"/>
          <w:spacing w:val="16"/>
          <w:sz w:val="40"/>
          <w:szCs w:val="40"/>
          <w:lang w:eastAsia="zh-CN"/>
        </w:rPr>
        <w:t>绩效自评报告</w:t>
      </w:r>
    </w:p>
    <w:p>
      <w:pPr>
        <w:spacing w:line="240" w:lineRule="auto"/>
        <w:jc w:val="center"/>
        <w:rPr>
          <w:rFonts w:ascii="黑体" w:hAnsi="黑体" w:eastAsia="黑体" w:cs="黑体"/>
          <w:sz w:val="40"/>
          <w:szCs w:val="40"/>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1、主要职能</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（一）贯彻执行上级关于工业园区的各项方针政策，落实省委下达的飞地经济改革示范任务，及时解读国家、省、岳阳市产业发展形势，积极争取上级支持激励政策。</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（二）优化营商环境，服务园区企业，开辟绿色通道，全程代办园区企业行政审批公共服务事项，为入园企业自主合法经营提供保障。</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（三）与相关职能部门、普乐公司、当地政府及相关村组协调做好上下对接和横向联动，创造优良的建设环境和投资环境，推进园区基础工程和企业项目建设。</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（四）协助普乐公司拟订飞地园区发展规划、产业举措、优惠政策、管理办法、 工作流程、任务分解，全面统计分析园区经济运行情况。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（五）协助普乐公司做好园区项目招商引资工作，参与园区招商项目前期入园条件初审。督促普乐公司落实安全生产责任，做好安全生产工作。</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（六）协助管理市直部门设在园区内的派出机构或分支机构。做好园区选派干部、抽派人员的日常管理工作。</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（七）承办市委市政府交办的其他事项。</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2、机构设置情况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湖南汨罗高新技术产业开发区长沙飞地园管理办公室为正科级事业单位，核定全额拨款事业编制12名，核定领导职数为主任1名，副主任2名。设置综合部、经济发展服务科、工程项目协调科3个内设机构。办公地点现位于长沙经开区汨罗产业园招营中心四楼。</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bidi="ar-SA"/>
        </w:rPr>
        <w:t>2022年湖南汨罗高新技术产业开发区长沙飞地园管理办公室整体支出213.74万元，其中基本支出63.74万元、专项运转支出150万元。</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（一）基本支出情况</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cs="Arial"/>
          <w:snapToGrid w:val="0"/>
          <w:color w:val="000000"/>
          <w:kern w:val="0"/>
          <w:sz w:val="32"/>
          <w:szCs w:val="32"/>
          <w:lang w:val="en-US" w:eastAsia="zh-CN" w:bidi="ar-SA"/>
        </w:rPr>
        <w:t>基本支出年初预算52.07万元，基本支出决算63.74万元，其中人员经费55.28万元，主要用于人员工资、津补贴、绩效考核、社保公积金缴纳及临聘人员工资及养老保险缴纳等；日常公用经费8.46万元，主要用于园区管理服务与工作协调等日常开支及产业链办公室日常开支。</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（二）专项支出情况</w:t>
      </w:r>
    </w:p>
    <w:p>
      <w:pPr>
        <w:pStyle w:val="9"/>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专项运转年初预算为150万元，支出决算为150万元，完成年初预算的100%，主要用于园区招商引资、项目考察、项目调研、项目洽谈等商务接待及宣传服务；园区环保测评、检测及环境卫生保护、绿化、清理清洁；园区安全生产，园区治安保障；园区工程协调，处理园区与弼时镇、村之间的拆迁历史遗留问题；市政府重大项目、重大迎检活动；疫情防控物资采购及宣传；扶贫等工作。</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9"/>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2022年度政府性基金预算财政拨款收入0万元；年初结转和结余0万元；支出0万元，其中基本支出0万元，项目支出0万元；年末结转和结余0万元。本单位没有政府性基金收入，也没有使用政府性基金安排的支出。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9"/>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本单位没有使用国有资本经营预算安排的支出。2022年度国有资本经营预算财政拨款收入0万元；年初结转和结余0万元；支出0万元，其中基本支出0万元，项目支出0万元；年末结转和结余0万元。</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pStyle w:val="9"/>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本单位没有社会保险基金收入，也没有使用社会保险基金安排的支出。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根据财政预算绩效管理要求，本单位认真总结归纳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通过绩效管理，各科室逐步树立了绩效理念。通过设定绩效目标，明确了各科室职责，使职责和目标得到了进一步明确，自我约束意识及责任意识明显提高。有效减少和防止无效支出及盲目支出等行为发生，使资金的运行更加合理高效，促使预算的编制更科学、更规范，有利于优化支出结构，合理分配资金，使有限的资金发挥更大的效益。</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整体支出绩效存在的问题及原因分析为：</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1、预算准确率有待提高。年初预算编制不够精确，考虑不全面，导致年底决算数与年初预算数相差较大。前瞻性不强，没有综合考虑单位公用经费及项目支出。</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2、预算执行存在偏差。由于预算安排不足造成部分科目实际支出比预算偏高，缺口资金只能调剂其他资金使用，存在着预算项目间互相进行调剂的情况。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3、精细化管理有待加强。从绩效评价看，部门支出预算和绩效评价部分项目目标无法用量化指标来进行考评，需要进一步做到合理性与可操作性的有机统一。</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4、实现绩效管理的规范化、常态化、全过程化。夯实工作基础，完善工作制度，细化工作内容，建立起对应的工作流程和业务规范，运用预算管理、对标管理、资产管理等手段，实现全过程控制，将财务管理由事后管理转化为事前控制、事中监督、预警管理，实现对财务工作的动态管理。</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5、建立以绩效为导向的预算编制模式。提高部门预算和整体支出绩效目标编制的科学性和前瞻性，科学合理编制预算，提高预算预见力，严格执行预算，避免项目支出与基本支出划分不准或预算支出与实际执行出现较大偏差的情况。</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6、强化内部管理，健全单位内控制度。努力做到“使用有预算、开支有标准、审核有程序”，做到有章可循，违章必究，建立资产定期清查处置制度，有效地加强对单位内部的人、才、物的管理，不断提高资金使用效益，提高单位整体支出绩效。</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7、抓好“三公”经费控制管理。严格控制“三公”经费的规模和比例，把好审批、审核关，合理压缩“三公经费”经费支出。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单位从预算和预算绩效管理、部门履职效能、资金分配、使用和管理、资产和财务管理、政府采购等方面归纳存在的问题；反映各种预算支出执行偏离绩效目标的情况，并分析其原因改进措施。不断强化预算绩效管理，将预算绩效管理纳入财政日常管理工作，积极探索管理模式，正逐步使预算绩效管理覆盖全部财政资金，严格落实上级关于党政机关厉行节约的有关要求，既有效保障机关运转，又坚决制止铺张浪费，切实规范公务消费行为，努力降低行政成本，压减一般性支出，保障重点支出，不断优化支出结构，为建立科学规范、高效的预算绩效管理体系提供了制度保障。</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numPr>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我单位组织开展整体支出绩效评价，涉及一般公共预算支出213.74万元，政府性基金预算支出0万元。2022年度我部门政府性基金预算项目支出0万元、国有资本经营预算项目支出0万（2022年度我部门无政府性基金预算项目支出、无国有资本经营预算支出），对2022年度0个政府性基金预算项目支出开展绩效自评，共涉及资金0万元，占政府性基金预算项目支出总额的0%；对2022年度0个国有资本经营预算项目支出开展绩效自评，共涉及资金0万元，占国有资本经营预算项目支出总额的0%。（因项目支出金额为0，无法计算百分比）</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163E8"/>
    <w:multiLevelType w:val="singleLevel"/>
    <w:tmpl w:val="C01163E8"/>
    <w:lvl w:ilvl="0" w:tentative="0">
      <w:start w:val="9"/>
      <w:numFmt w:val="chineseCounting"/>
      <w:suff w:val="nothing"/>
      <w:lvlText w:val="%1、"/>
      <w:lvlJc w:val="left"/>
      <w:rPr>
        <w:rFonts w:hint="eastAsia"/>
      </w:rPr>
    </w:lvl>
  </w:abstractNum>
  <w:abstractNum w:abstractNumId="1">
    <w:nsid w:val="3E2AF64E"/>
    <w:multiLevelType w:val="singleLevel"/>
    <w:tmpl w:val="3E2AF64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c1ZTA4NGE4ZDhjMWY2ZThmNDI5OTUyNTc1NmRjNWEifQ=="/>
  </w:docVars>
  <w:rsids>
    <w:rsidRoot w:val="00000000"/>
    <w:rsid w:val="01AF3811"/>
    <w:rsid w:val="03795BF7"/>
    <w:rsid w:val="07F004D3"/>
    <w:rsid w:val="086E756B"/>
    <w:rsid w:val="0ACF37E5"/>
    <w:rsid w:val="0B400BC6"/>
    <w:rsid w:val="0E68228D"/>
    <w:rsid w:val="15276E52"/>
    <w:rsid w:val="19D32FBC"/>
    <w:rsid w:val="19EA4C66"/>
    <w:rsid w:val="1B0E67CD"/>
    <w:rsid w:val="1E6A4395"/>
    <w:rsid w:val="25557A3D"/>
    <w:rsid w:val="26EA5ED7"/>
    <w:rsid w:val="27A93B82"/>
    <w:rsid w:val="2AE00186"/>
    <w:rsid w:val="308216BE"/>
    <w:rsid w:val="327C0F4A"/>
    <w:rsid w:val="331E3531"/>
    <w:rsid w:val="346270D0"/>
    <w:rsid w:val="34FE1149"/>
    <w:rsid w:val="3A550786"/>
    <w:rsid w:val="3B7A130F"/>
    <w:rsid w:val="3EB516C8"/>
    <w:rsid w:val="4C142DD5"/>
    <w:rsid w:val="4DAB1FDE"/>
    <w:rsid w:val="4F8B6063"/>
    <w:rsid w:val="52FA3F96"/>
    <w:rsid w:val="530056F0"/>
    <w:rsid w:val="53773590"/>
    <w:rsid w:val="55850F17"/>
    <w:rsid w:val="57AE6D93"/>
    <w:rsid w:val="57CE4F13"/>
    <w:rsid w:val="5DDF5773"/>
    <w:rsid w:val="5E321655"/>
    <w:rsid w:val="5FB623A7"/>
    <w:rsid w:val="6D6F4E32"/>
    <w:rsid w:val="6E3851B0"/>
    <w:rsid w:val="759E2911"/>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4927</Words>
  <Characters>5194</Characters>
  <TotalTime>2</TotalTime>
  <ScaleCrop>false</ScaleCrop>
  <LinksUpToDate>false</LinksUpToDate>
  <CharactersWithSpaces>5366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飞地园</cp:lastModifiedBy>
  <cp:lastPrinted>2024-05-21T14:05:00Z</cp:lastPrinted>
  <dcterms:modified xsi:type="dcterms:W3CDTF">2024-07-05T03:54:05Z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