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p>
        </w:tc>
        <w:tc>
          <w:tcPr>
            <w:tcW w:w="2039" w:type="dxa"/>
            <w:gridSpan w:val="2"/>
            <w:vAlign w:val="center"/>
          </w:tcPr>
          <w:p w14:paraId="1D47B169">
            <w:pPr>
              <w:spacing w:line="240" w:lineRule="auto"/>
              <w:ind w:firstLine="420"/>
              <w:jc w:val="center"/>
              <w:rPr>
                <w:rFonts w:ascii="仿宋_GB2312" w:eastAsia="仿宋_GB2312"/>
                <w:kern w:val="0"/>
              </w:rPr>
            </w:pPr>
          </w:p>
        </w:tc>
        <w:tc>
          <w:tcPr>
            <w:tcW w:w="1983" w:type="dxa"/>
            <w:gridSpan w:val="2"/>
            <w:vAlign w:val="center"/>
          </w:tcPr>
          <w:p w14:paraId="06F2846E">
            <w:pPr>
              <w:spacing w:line="240" w:lineRule="auto"/>
              <w:ind w:firstLine="420"/>
              <w:jc w:val="center"/>
              <w:rPr>
                <w:rFonts w:ascii="仿宋_GB2312" w:eastAsia="仿宋_GB2312"/>
                <w:kern w:val="0"/>
              </w:rPr>
            </w:pP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14:paraId="1D6514EA">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shd w:val="clear" w:color="auto" w:fill="auto"/>
            <w:vAlign w:val="center"/>
          </w:tcPr>
          <w:p w14:paraId="7DFA64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3</w:t>
            </w:r>
          </w:p>
        </w:tc>
        <w:tc>
          <w:tcPr>
            <w:tcW w:w="2039" w:type="dxa"/>
            <w:gridSpan w:val="2"/>
            <w:vAlign w:val="center"/>
          </w:tcPr>
          <w:p w14:paraId="672289A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0.6</w:t>
            </w:r>
          </w:p>
        </w:tc>
        <w:tc>
          <w:tcPr>
            <w:tcW w:w="1983" w:type="dxa"/>
            <w:gridSpan w:val="2"/>
            <w:vAlign w:val="center"/>
          </w:tcPr>
          <w:p w14:paraId="7985B411">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bookmarkStart w:id="0" w:name="_GoBack"/>
            <w:bookmarkEnd w:id="0"/>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6.21</w:t>
            </w:r>
          </w:p>
        </w:tc>
        <w:tc>
          <w:tcPr>
            <w:tcW w:w="2039" w:type="dxa"/>
            <w:gridSpan w:val="2"/>
            <w:vAlign w:val="center"/>
          </w:tcPr>
          <w:p w14:paraId="050E07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32.16</w:t>
            </w:r>
          </w:p>
        </w:tc>
        <w:tc>
          <w:tcPr>
            <w:tcW w:w="1983" w:type="dxa"/>
            <w:gridSpan w:val="2"/>
            <w:vAlign w:val="center"/>
          </w:tcPr>
          <w:p w14:paraId="735730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6.08</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0.12</w:t>
            </w:r>
          </w:p>
        </w:tc>
        <w:tc>
          <w:tcPr>
            <w:tcW w:w="2039" w:type="dxa"/>
            <w:gridSpan w:val="2"/>
            <w:vAlign w:val="center"/>
          </w:tcPr>
          <w:p w14:paraId="7BB02F1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0.81</w:t>
            </w:r>
          </w:p>
        </w:tc>
        <w:tc>
          <w:tcPr>
            <w:tcW w:w="1983" w:type="dxa"/>
            <w:gridSpan w:val="2"/>
            <w:vAlign w:val="center"/>
          </w:tcPr>
          <w:p w14:paraId="087A3549">
            <w:pPr>
              <w:spacing w:line="240" w:lineRule="auto"/>
              <w:ind w:firstLine="880" w:firstLineChars="400"/>
              <w:jc w:val="both"/>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0.68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2.09</w:t>
            </w:r>
          </w:p>
        </w:tc>
        <w:tc>
          <w:tcPr>
            <w:tcW w:w="2039" w:type="dxa"/>
            <w:gridSpan w:val="2"/>
            <w:vAlign w:val="center"/>
          </w:tcPr>
          <w:p w14:paraId="31E21FE8">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0.24</w:t>
            </w:r>
          </w:p>
        </w:tc>
        <w:tc>
          <w:tcPr>
            <w:tcW w:w="1983" w:type="dxa"/>
            <w:gridSpan w:val="2"/>
            <w:vAlign w:val="center"/>
          </w:tcPr>
          <w:p w14:paraId="4FD745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0.34</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67174B3">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50E4F9D">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8AD1802">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0.15</w:t>
            </w:r>
          </w:p>
        </w:tc>
        <w:tc>
          <w:tcPr>
            <w:tcW w:w="1983" w:type="dxa"/>
            <w:gridSpan w:val="2"/>
            <w:vAlign w:val="center"/>
          </w:tcPr>
          <w:p w14:paraId="4363E71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0.15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29.17</w:t>
            </w:r>
          </w:p>
        </w:tc>
        <w:tc>
          <w:tcPr>
            <w:tcW w:w="2039" w:type="dxa"/>
            <w:gridSpan w:val="2"/>
            <w:vAlign w:val="center"/>
          </w:tcPr>
          <w:p w14:paraId="50A3B14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32.13</w:t>
            </w:r>
          </w:p>
        </w:tc>
        <w:tc>
          <w:tcPr>
            <w:tcW w:w="1983" w:type="dxa"/>
            <w:gridSpan w:val="2"/>
            <w:vAlign w:val="center"/>
          </w:tcPr>
          <w:p w14:paraId="5A7B69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27.62</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488AA962">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lang w:val="en-US" w:eastAsia="zh-CN"/>
              </w:rPr>
              <w:t>汨罗市墙体新材料改革办公室</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32.16</w:t>
            </w:r>
          </w:p>
        </w:tc>
        <w:tc>
          <w:tcPr>
            <w:tcW w:w="1298" w:type="dxa"/>
            <w:vAlign w:val="center"/>
          </w:tcPr>
          <w:p w14:paraId="78350D2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27.62</w:t>
            </w:r>
          </w:p>
        </w:tc>
        <w:tc>
          <w:tcPr>
            <w:tcW w:w="1269" w:type="dxa"/>
            <w:vAlign w:val="center"/>
          </w:tcPr>
          <w:p w14:paraId="5FDA3D24">
            <w:pPr>
              <w:spacing w:line="240" w:lineRule="auto"/>
              <w:ind w:firstLine="420"/>
              <w:jc w:val="both"/>
              <w:rPr>
                <w:rFonts w:ascii="仿宋_GB2312" w:eastAsia="仿宋_GB2312"/>
                <w:kern w:val="0"/>
              </w:rPr>
            </w:pPr>
            <w:r>
              <w:rPr>
                <w:rFonts w:hint="eastAsia" w:ascii="仿宋_GB2312" w:eastAsia="仿宋_GB2312"/>
                <w:kern w:val="0"/>
                <w:lang w:val="en-US" w:eastAsia="zh-CN"/>
              </w:rPr>
              <w:t>27.62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85.88%</w:t>
            </w:r>
          </w:p>
        </w:tc>
        <w:tc>
          <w:tcPr>
            <w:tcW w:w="1423" w:type="dxa"/>
            <w:vAlign w:val="center"/>
          </w:tcPr>
          <w:p w14:paraId="4BE68CE2">
            <w:pPr>
              <w:spacing w:line="240" w:lineRule="auto"/>
              <w:ind w:firstLine="630" w:firstLineChars="300"/>
              <w:jc w:val="both"/>
              <w:rPr>
                <w:rFonts w:hint="eastAsia" w:ascii="仿宋_GB2312" w:eastAsia="仿宋_GB2312"/>
                <w:kern w:val="0"/>
                <w:lang w:val="en-US" w:eastAsia="zh-CN"/>
              </w:rPr>
            </w:pPr>
            <w:r>
              <w:rPr>
                <w:rFonts w:hint="eastAsia" w:ascii="仿宋_GB2312" w:eastAsia="仿宋_GB2312"/>
                <w:kern w:val="0"/>
                <w:lang w:val="en-US" w:eastAsia="zh-CN"/>
              </w:rPr>
              <w:t>6</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其中：一般公共预算：27.62</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其中：基本支出：27.62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both"/>
              <w:rPr>
                <w:rFonts w:ascii="仿宋_GB2312" w:eastAsia="仿宋_GB2312"/>
                <w:kern w:val="0"/>
              </w:rPr>
            </w:pPr>
            <w:r>
              <w:rPr>
                <w:rFonts w:hint="eastAsia" w:ascii="仿宋_GB2312" w:eastAsia="仿宋_GB2312"/>
                <w:kern w:val="0"/>
              </w:rPr>
              <w:t>市共有新型墙材企业15家，其中页岩砖企业13家、加气砌块1家、透水砖企业1家。我市新型墙体材料产量完成5.6亿标块，比去年同期5.8亿标块净减少0.2亿标块，减少3.4%；新墙材占墙材总量90%，全市城市规划区内所有开发工程全部使用了新型墙材。推广应用散装水泥60万吨，散装水泥使用率达到90%</w:t>
            </w:r>
          </w:p>
        </w:tc>
        <w:tc>
          <w:tcPr>
            <w:tcW w:w="4260" w:type="dxa"/>
            <w:gridSpan w:val="4"/>
            <w:vAlign w:val="center"/>
          </w:tcPr>
          <w:p w14:paraId="6802EC8F">
            <w:pPr>
              <w:spacing w:line="240" w:lineRule="auto"/>
              <w:jc w:val="both"/>
              <w:rPr>
                <w:rFonts w:hint="eastAsia" w:ascii="仿宋_GB2312" w:eastAsia="仿宋_GB2312"/>
                <w:kern w:val="0"/>
              </w:rPr>
            </w:pPr>
            <w:r>
              <w:rPr>
                <w:rFonts w:hint="eastAsia" w:ascii="仿宋_GB2312" w:eastAsia="仿宋_GB2312"/>
                <w:kern w:val="0"/>
              </w:rPr>
              <w:t>一是抓“禁粘”“禁现”政策宣传。紧紧围绕纵深推进墙材革新和散装水泥发展，营造良好的“限粘”“禁现”工作氛围，先后发放宣传资料300份，张贴标语200张，悬挂横幅50条。</w:t>
            </w:r>
          </w:p>
          <w:p w14:paraId="219F7CBF">
            <w:pPr>
              <w:spacing w:line="240" w:lineRule="auto"/>
              <w:jc w:val="both"/>
              <w:rPr>
                <w:rFonts w:hint="eastAsia" w:ascii="仿宋_GB2312" w:eastAsia="仿宋_GB2312"/>
                <w:kern w:val="0"/>
              </w:rPr>
            </w:pPr>
            <w:r>
              <w:rPr>
                <w:rFonts w:hint="eastAsia" w:ascii="仿宋_GB2312" w:eastAsia="仿宋_GB2312"/>
                <w:kern w:val="0"/>
              </w:rPr>
              <w:t>二是抓建设工程监管。严格把关，对不合格、不符合国家产品目录和国家明令淘汰的建材，严禁使用于工程。凡是发现不按规定实施的，将责令整改；对拒不整改的，将依据有关法律法规从严、从重处理。</w:t>
            </w:r>
          </w:p>
          <w:p w14:paraId="156E0DC0">
            <w:pPr>
              <w:spacing w:line="240" w:lineRule="auto"/>
              <w:jc w:val="both"/>
              <w:rPr>
                <w:rFonts w:ascii="仿宋_GB2312" w:eastAsia="仿宋_GB2312"/>
                <w:kern w:val="0"/>
              </w:rPr>
            </w:pPr>
            <w:r>
              <w:rPr>
                <w:rFonts w:hint="eastAsia" w:ascii="仿宋_GB2312" w:eastAsia="仿宋_GB2312"/>
                <w:kern w:val="0"/>
              </w:rPr>
              <w:t>三是抓安全生产和环保整治。根据中央第六生态环境保护督察组要求，按照“管行业必须管环保、管行业必须管安全”的精神，从4月6至5月6日，对全市新型墙材企业开展了为期一个月的安全生产隐患排查和环保督查整治工作，发现安全生产隐患5 起，影响生态环境事件 12 例。现已全面整改到位，并顺利通过了</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管理新型墙体材料的生产销售，参与建筑工程中使用新型墙体材料的竣工验收。新增规模企业</w:t>
            </w:r>
          </w:p>
        </w:tc>
        <w:tc>
          <w:tcPr>
            <w:tcW w:w="1298" w:type="dxa"/>
            <w:vAlign w:val="center"/>
          </w:tcPr>
          <w:p w14:paraId="2A374824">
            <w:pPr>
              <w:spacing w:line="240" w:lineRule="auto"/>
              <w:ind w:firstLine="420"/>
              <w:jc w:val="center"/>
              <w:rPr>
                <w:rFonts w:ascii="仿宋_GB2312" w:eastAsia="仿宋_GB2312"/>
                <w:kern w:val="0"/>
              </w:rPr>
            </w:pP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负责为推广节能环保墙体材料和加强散装水泥管理提供服务保障</w:t>
            </w:r>
          </w:p>
        </w:tc>
        <w:tc>
          <w:tcPr>
            <w:tcW w:w="1298" w:type="dxa"/>
            <w:vAlign w:val="center"/>
          </w:tcPr>
          <w:p w14:paraId="1A5ADA3A">
            <w:pPr>
              <w:spacing w:line="240" w:lineRule="auto"/>
              <w:ind w:firstLine="420"/>
              <w:jc w:val="center"/>
              <w:rPr>
                <w:rFonts w:ascii="仿宋_GB2312" w:eastAsia="仿宋_GB2312"/>
                <w:kern w:val="0"/>
              </w:rPr>
            </w:pP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负责为推广节能环保墙体材料和加强散装水泥管理提供服务保障</w:t>
            </w:r>
          </w:p>
        </w:tc>
        <w:tc>
          <w:tcPr>
            <w:tcW w:w="1298" w:type="dxa"/>
            <w:vAlign w:val="center"/>
          </w:tcPr>
          <w:p w14:paraId="479FA5D5">
            <w:pPr>
              <w:spacing w:line="240" w:lineRule="auto"/>
              <w:ind w:firstLine="420"/>
              <w:jc w:val="center"/>
              <w:rPr>
                <w:rFonts w:ascii="仿宋_GB2312" w:eastAsia="仿宋_GB2312"/>
                <w:kern w:val="0"/>
              </w:rPr>
            </w:pP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4C56B99F">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shd w:val="clear" w:color="auto" w:fill="auto"/>
            <w:vAlign w:val="center"/>
          </w:tcPr>
          <w:p w14:paraId="5DA34835">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both"/>
              <w:rPr>
                <w:rFonts w:ascii="仿宋_GB2312" w:eastAsia="仿宋_GB2312"/>
                <w:kern w:val="0"/>
              </w:rPr>
            </w:pPr>
          </w:p>
        </w:tc>
        <w:tc>
          <w:tcPr>
            <w:tcW w:w="869" w:type="dxa"/>
            <w:shd w:val="clear" w:color="auto" w:fill="auto"/>
            <w:vAlign w:val="center"/>
          </w:tcPr>
          <w:p w14:paraId="0E73072C">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078289F3">
            <w:pPr>
              <w:spacing w:line="240" w:lineRule="auto"/>
              <w:ind w:firstLine="420"/>
              <w:jc w:val="center"/>
              <w:rPr>
                <w:rFonts w:ascii="仿宋_GB2312" w:eastAsia="仿宋_GB2312"/>
                <w:kern w:val="0"/>
              </w:rPr>
            </w:pP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415A3F60">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shd w:val="clear" w:color="auto" w:fill="auto"/>
            <w:vAlign w:val="center"/>
          </w:tcPr>
          <w:p w14:paraId="2AC58B95">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both"/>
              <w:rPr>
                <w:rFonts w:ascii="仿宋_GB2312" w:eastAsia="仿宋_GB2312"/>
                <w:kern w:val="0"/>
              </w:rPr>
            </w:pPr>
          </w:p>
        </w:tc>
        <w:tc>
          <w:tcPr>
            <w:tcW w:w="869" w:type="dxa"/>
            <w:shd w:val="clear" w:color="auto" w:fill="auto"/>
            <w:vAlign w:val="center"/>
          </w:tcPr>
          <w:p w14:paraId="6DE220A2">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6E8C4873">
            <w:pPr>
              <w:spacing w:line="240" w:lineRule="auto"/>
              <w:ind w:firstLine="420"/>
              <w:jc w:val="center"/>
              <w:rPr>
                <w:rFonts w:ascii="仿宋_GB2312" w:eastAsia="仿宋_GB2312"/>
                <w:kern w:val="0"/>
              </w:rPr>
            </w:pP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75FAE414">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shd w:val="clear" w:color="auto" w:fill="auto"/>
            <w:vAlign w:val="center"/>
          </w:tcPr>
          <w:p w14:paraId="3309901E">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both"/>
              <w:rPr>
                <w:rFonts w:ascii="仿宋_GB2312" w:eastAsia="仿宋_GB2312"/>
                <w:kern w:val="0"/>
              </w:rPr>
            </w:pPr>
          </w:p>
        </w:tc>
        <w:tc>
          <w:tcPr>
            <w:tcW w:w="869" w:type="dxa"/>
            <w:shd w:val="clear" w:color="auto" w:fill="auto"/>
            <w:vAlign w:val="center"/>
          </w:tcPr>
          <w:p w14:paraId="14AC2896">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45B96CBB">
            <w:pPr>
              <w:spacing w:line="240" w:lineRule="auto"/>
              <w:ind w:firstLine="420"/>
              <w:jc w:val="center"/>
              <w:rPr>
                <w:rFonts w:ascii="仿宋_GB2312" w:eastAsia="仿宋_GB2312"/>
                <w:kern w:val="0"/>
              </w:rPr>
            </w:pP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6A822248">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shd w:val="clear" w:color="auto" w:fill="auto"/>
            <w:vAlign w:val="center"/>
          </w:tcPr>
          <w:p w14:paraId="73C931F8">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监管相对人满意</w:t>
            </w:r>
          </w:p>
        </w:tc>
        <w:tc>
          <w:tcPr>
            <w:tcW w:w="1298" w:type="dxa"/>
            <w:vAlign w:val="center"/>
          </w:tcPr>
          <w:p w14:paraId="6ABEB3E2">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＞90%</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90%</w:t>
            </w:r>
          </w:p>
        </w:tc>
        <w:tc>
          <w:tcPr>
            <w:tcW w:w="699" w:type="dxa"/>
            <w:vAlign w:val="center"/>
          </w:tcPr>
          <w:p w14:paraId="41D3F37B">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lang w:val="en-US" w:eastAsia="zh-CN"/>
              </w:rPr>
              <w:t>&lt;=27.62</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lang w:val="en-US" w:eastAsia="zh-CN"/>
              </w:rPr>
              <w:t>27.62</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94</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02F2EC2">
      <w:pPr>
        <w:spacing w:line="267" w:lineRule="auto"/>
        <w:ind w:firstLine="552"/>
        <w:jc w:val="both"/>
        <w:rPr>
          <w:rFonts w:hint="eastAsia" w:ascii="宋体" w:hAnsi="宋体" w:eastAsia="宋体" w:cs="宋体"/>
          <w:bCs/>
          <w:spacing w:val="-4"/>
          <w:kern w:val="0"/>
          <w:sz w:val="28"/>
          <w:szCs w:val="28"/>
          <w:lang w:eastAsia="zh-CN"/>
        </w:rPr>
      </w:pPr>
    </w:p>
    <w:p w14:paraId="4BA70B2B">
      <w:pPr>
        <w:spacing w:line="267" w:lineRule="auto"/>
        <w:ind w:firstLine="552"/>
        <w:jc w:val="both"/>
        <w:rPr>
          <w:rFonts w:hint="eastAsia" w:ascii="宋体" w:hAnsi="宋体" w:eastAsia="宋体" w:cs="宋体"/>
          <w:bCs/>
          <w:spacing w:val="-4"/>
          <w:kern w:val="0"/>
          <w:sz w:val="28"/>
          <w:szCs w:val="28"/>
          <w:lang w:eastAsia="zh-CN"/>
        </w:rPr>
      </w:pPr>
    </w:p>
    <w:p w14:paraId="4E54C8E4">
      <w:pPr>
        <w:spacing w:line="267" w:lineRule="auto"/>
        <w:ind w:firstLine="552"/>
        <w:jc w:val="both"/>
        <w:rPr>
          <w:rFonts w:hint="eastAsia" w:ascii="宋体" w:hAnsi="宋体" w:eastAsia="宋体" w:cs="宋体"/>
          <w:bCs/>
          <w:spacing w:val="-4"/>
          <w:kern w:val="0"/>
          <w:sz w:val="28"/>
          <w:szCs w:val="28"/>
          <w:lang w:eastAsia="zh-CN"/>
        </w:rPr>
      </w:pPr>
    </w:p>
    <w:p w14:paraId="00EBA6C8">
      <w:pPr>
        <w:spacing w:line="267" w:lineRule="auto"/>
        <w:ind w:firstLine="552"/>
        <w:jc w:val="both"/>
        <w:rPr>
          <w:rFonts w:hint="eastAsia" w:ascii="宋体" w:hAnsi="宋体" w:eastAsia="宋体" w:cs="宋体"/>
          <w:bCs/>
          <w:spacing w:val="-4"/>
          <w:kern w:val="0"/>
          <w:sz w:val="28"/>
          <w:szCs w:val="28"/>
          <w:lang w:eastAsia="zh-CN"/>
        </w:rPr>
      </w:pPr>
    </w:p>
    <w:p w14:paraId="3D06701E">
      <w:pPr>
        <w:spacing w:line="267" w:lineRule="auto"/>
        <w:ind w:firstLine="552"/>
        <w:jc w:val="both"/>
        <w:rPr>
          <w:rFonts w:hint="eastAsia" w:ascii="宋体" w:hAnsi="宋体" w:eastAsia="宋体" w:cs="宋体"/>
          <w:bCs/>
          <w:spacing w:val="-4"/>
          <w:kern w:val="0"/>
          <w:sz w:val="28"/>
          <w:szCs w:val="28"/>
          <w:lang w:eastAsia="zh-CN"/>
        </w:rPr>
      </w:pPr>
    </w:p>
    <w:p w14:paraId="63AE773E">
      <w:pPr>
        <w:spacing w:line="267" w:lineRule="auto"/>
        <w:ind w:firstLine="552"/>
        <w:jc w:val="both"/>
        <w:rPr>
          <w:rFonts w:hint="eastAsia" w:ascii="宋体" w:hAnsi="宋体" w:eastAsia="宋体" w:cs="宋体"/>
          <w:bCs/>
          <w:spacing w:val="-4"/>
          <w:kern w:val="0"/>
          <w:sz w:val="28"/>
          <w:szCs w:val="28"/>
          <w:lang w:eastAsia="zh-CN"/>
        </w:rPr>
      </w:pPr>
    </w:p>
    <w:p w14:paraId="0DEF0697">
      <w:pPr>
        <w:spacing w:line="267" w:lineRule="auto"/>
        <w:ind w:firstLine="552"/>
        <w:jc w:val="both"/>
        <w:rPr>
          <w:rFonts w:hint="eastAsia" w:ascii="宋体" w:hAnsi="宋体" w:eastAsia="宋体" w:cs="宋体"/>
          <w:bCs/>
          <w:spacing w:val="-4"/>
          <w:kern w:val="0"/>
          <w:sz w:val="28"/>
          <w:szCs w:val="28"/>
          <w:lang w:eastAsia="zh-CN"/>
        </w:rPr>
      </w:pPr>
    </w:p>
    <w:p w14:paraId="796F0150">
      <w:pPr>
        <w:spacing w:line="267" w:lineRule="auto"/>
        <w:ind w:firstLine="552"/>
        <w:jc w:val="both"/>
        <w:rPr>
          <w:rFonts w:hint="eastAsia" w:ascii="宋体" w:hAnsi="宋体" w:eastAsia="宋体" w:cs="宋体"/>
          <w:bCs/>
          <w:spacing w:val="-4"/>
          <w:kern w:val="0"/>
          <w:sz w:val="28"/>
          <w:szCs w:val="28"/>
          <w:lang w:eastAsia="zh-CN"/>
        </w:rPr>
      </w:pPr>
    </w:p>
    <w:p w14:paraId="70113C46">
      <w:pPr>
        <w:spacing w:line="267" w:lineRule="auto"/>
        <w:ind w:firstLine="552"/>
        <w:jc w:val="both"/>
        <w:rPr>
          <w:rFonts w:hint="eastAsia" w:ascii="宋体" w:hAnsi="宋体" w:eastAsia="宋体" w:cs="宋体"/>
          <w:bCs/>
          <w:spacing w:val="-4"/>
          <w:kern w:val="0"/>
          <w:sz w:val="28"/>
          <w:szCs w:val="28"/>
          <w:lang w:eastAsia="zh-CN"/>
        </w:rPr>
      </w:pPr>
    </w:p>
    <w:p w14:paraId="75B3000E">
      <w:pPr>
        <w:spacing w:line="267" w:lineRule="auto"/>
        <w:ind w:firstLine="552"/>
        <w:jc w:val="both"/>
        <w:rPr>
          <w:rFonts w:hint="eastAsia" w:ascii="宋体" w:hAnsi="宋体" w:eastAsia="宋体" w:cs="宋体"/>
          <w:bCs/>
          <w:spacing w:val="-4"/>
          <w:kern w:val="0"/>
          <w:sz w:val="28"/>
          <w:szCs w:val="28"/>
          <w:lang w:eastAsia="zh-CN"/>
        </w:rPr>
      </w:pPr>
    </w:p>
    <w:p w14:paraId="28953A3D">
      <w:pPr>
        <w:spacing w:line="267" w:lineRule="auto"/>
        <w:ind w:firstLine="552"/>
        <w:jc w:val="both"/>
        <w:rPr>
          <w:rFonts w:hint="eastAsia" w:ascii="宋体" w:hAnsi="宋体" w:eastAsia="宋体" w:cs="宋体"/>
          <w:bCs/>
          <w:spacing w:val="-4"/>
          <w:kern w:val="0"/>
          <w:sz w:val="28"/>
          <w:szCs w:val="28"/>
          <w:lang w:eastAsia="zh-CN"/>
        </w:rPr>
      </w:pPr>
    </w:p>
    <w:p w14:paraId="5E19E3CD">
      <w:pPr>
        <w:spacing w:line="267" w:lineRule="auto"/>
        <w:ind w:firstLine="552"/>
        <w:jc w:val="both"/>
        <w:rPr>
          <w:rFonts w:hint="eastAsia" w:ascii="宋体" w:hAnsi="宋体" w:eastAsia="宋体" w:cs="宋体"/>
          <w:bCs/>
          <w:spacing w:val="-4"/>
          <w:kern w:val="0"/>
          <w:sz w:val="28"/>
          <w:szCs w:val="28"/>
          <w:lang w:eastAsia="zh-CN"/>
        </w:rPr>
      </w:pPr>
    </w:p>
    <w:p w14:paraId="1396742C">
      <w:pPr>
        <w:spacing w:line="267" w:lineRule="auto"/>
        <w:ind w:firstLine="552"/>
        <w:jc w:val="both"/>
        <w:rPr>
          <w:rFonts w:hint="eastAsia" w:ascii="宋体" w:hAnsi="宋体" w:eastAsia="宋体" w:cs="宋体"/>
          <w:bCs/>
          <w:spacing w:val="-4"/>
          <w:kern w:val="0"/>
          <w:sz w:val="28"/>
          <w:szCs w:val="28"/>
          <w:lang w:eastAsia="zh-CN"/>
        </w:rPr>
      </w:pPr>
    </w:p>
    <w:p w14:paraId="2DC88C7A">
      <w:pPr>
        <w:spacing w:line="267" w:lineRule="auto"/>
        <w:ind w:firstLine="552"/>
        <w:jc w:val="both"/>
        <w:rPr>
          <w:rFonts w:hint="eastAsia" w:ascii="宋体" w:hAnsi="宋体" w:eastAsia="宋体" w:cs="宋体"/>
          <w:bCs/>
          <w:spacing w:val="-4"/>
          <w:kern w:val="0"/>
          <w:sz w:val="28"/>
          <w:szCs w:val="28"/>
          <w:lang w:eastAsia="zh-CN"/>
        </w:rPr>
      </w:pPr>
    </w:p>
    <w:p w14:paraId="62B27F4B">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1E075AC1">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 xml:space="preserve">汨罗市墙体新材料改革办公室 </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部</w:t>
      </w:r>
      <w:r>
        <w:rPr>
          <w:rFonts w:hint="eastAsia" w:ascii="方正小标宋简体" w:hAnsi="宋体" w:eastAsia="方正小标宋简体" w:cs="宋体"/>
          <w:kern w:val="0"/>
          <w:sz w:val="44"/>
          <w:szCs w:val="44"/>
          <w:lang w:eastAsia="zh-CN"/>
        </w:rPr>
        <w:t>门整体支出绩效自评报告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汨罗市墙体新材料改革办公室</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B95799">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25F35AC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1、负责为推广节能环保墙体材料和加强散装水泥管理提供服务保障，管理新型墙体材料的生产销售，参与建筑工程中使用新型墙体材料的竣工验收。</w:t>
      </w:r>
    </w:p>
    <w:p w14:paraId="4AB291CB">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2、加强对建设单位使用散装水泥的监督检查。</w:t>
      </w:r>
    </w:p>
    <w:p w14:paraId="7A6D385A">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3、负责组织协调限期禁止城区现场搅拌混泥工作。</w:t>
      </w:r>
    </w:p>
    <w:p w14:paraId="3E546C58">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4、承办市委、市人民政府交办的其他事项。</w:t>
      </w:r>
    </w:p>
    <w:p w14:paraId="31C7098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（二）机构设置 </w:t>
      </w:r>
    </w:p>
    <w:p w14:paraId="4EF409A1">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eastAsia="仿宋_GB2312"/>
          <w:kern w:val="0"/>
          <w:sz w:val="32"/>
          <w:szCs w:val="32"/>
          <w:lang w:eastAsia="zh-CN"/>
        </w:rPr>
      </w:pPr>
      <w:r>
        <w:rPr>
          <w:rFonts w:hint="eastAsia" w:ascii="仿宋" w:hAnsi="仿宋" w:eastAsia="仿宋" w:cs="仿宋"/>
          <w:color w:val="auto"/>
          <w:kern w:val="0"/>
          <w:sz w:val="32"/>
          <w:szCs w:val="32"/>
          <w:lang w:val="en-US" w:eastAsia="zh-CN"/>
        </w:rPr>
        <w:t>我单位为财政全额拨款单位,根据编委核定内设办公室。</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2022年本部门基本支出27.62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47A96E8E">
      <w:pPr>
        <w:pStyle w:val="10"/>
        <w:spacing w:line="600" w:lineRule="exact"/>
        <w:ind w:firstLine="643"/>
        <w:jc w:val="both"/>
        <w:rPr>
          <w:rFonts w:hint="eastAsia" w:ascii="Times New Roman" w:hAnsi="Times New Roman" w:eastAsia="仿宋_GB2312"/>
          <w:kern w:val="0"/>
          <w:sz w:val="32"/>
          <w:szCs w:val="32"/>
          <w:lang w:eastAsia="zh-CN"/>
        </w:rPr>
      </w:pPr>
    </w:p>
    <w:p w14:paraId="5542B985">
      <w:pPr>
        <w:numPr>
          <w:ilvl w:val="0"/>
          <w:numId w:val="2"/>
        </w:numPr>
        <w:spacing w:line="600" w:lineRule="exact"/>
        <w:ind w:left="378" w:leftChars="0" w:firstLine="0" w:firstLineChars="0"/>
        <w:jc w:val="both"/>
        <w:rPr>
          <w:rFonts w:hint="eastAsia" w:ascii="仿宋" w:hAnsi="仿宋" w:eastAsia="仿宋" w:cs="仿宋"/>
          <w:snapToGrid w:val="0"/>
          <w:color w:val="000000"/>
          <w:kern w:val="0"/>
          <w:sz w:val="32"/>
          <w:szCs w:val="32"/>
          <w:lang w:val="en-US" w:eastAsia="zh-CN" w:bidi="ar-SA"/>
        </w:rPr>
      </w:pPr>
      <w:r>
        <w:rPr>
          <w:rFonts w:hint="eastAsia" w:ascii="Times New Roman" w:hAnsi="Times New Roman" w:eastAsia="仿宋_GB2312"/>
          <w:kern w:val="0"/>
          <w:sz w:val="32"/>
          <w:szCs w:val="32"/>
          <w:lang w:eastAsia="zh-CN"/>
        </w:rPr>
        <w:t>项目支出情况</w:t>
      </w:r>
    </w:p>
    <w:p w14:paraId="4A86F7A0">
      <w:pPr>
        <w:numPr>
          <w:ilvl w:val="0"/>
          <w:numId w:val="0"/>
        </w:numPr>
        <w:spacing w:line="600" w:lineRule="exact"/>
        <w:ind w:firstLine="640" w:firstLineChars="200"/>
        <w:jc w:val="both"/>
        <w:rPr>
          <w:rFonts w:ascii="Times New Roman" w:hAnsi="Times New Roman" w:eastAsia="仿宋_GB2312"/>
          <w:kern w:val="0"/>
          <w:sz w:val="32"/>
          <w:szCs w:val="32"/>
          <w:lang w:eastAsia="zh-CN"/>
        </w:rPr>
      </w:pPr>
      <w:r>
        <w:rPr>
          <w:rFonts w:hint="eastAsia" w:ascii="仿宋" w:hAnsi="仿宋" w:eastAsia="仿宋" w:cs="仿宋"/>
          <w:snapToGrid w:val="0"/>
          <w:color w:val="000000"/>
          <w:kern w:val="0"/>
          <w:sz w:val="32"/>
          <w:szCs w:val="32"/>
          <w:lang w:val="en-US" w:eastAsia="zh-CN" w:bidi="ar-SA"/>
        </w:rPr>
        <w:t>2022年本部门项目支出0万元，主要是单位本年度没有项目支出。</w:t>
      </w: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4DA04EEC">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本单位本年度政府性基金预算支出为0万元。</w:t>
      </w:r>
    </w:p>
    <w:p w14:paraId="2A755169">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5AA8250C">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66CA4B7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21D7696">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一是抓“禁粘”“禁现”政策宣传。紧紧围绕纵深推进墙材革新和散装水泥发展，营造良好的“限粘”“禁现”工作氛围，先后发放宣传资料300份，张贴标语200张，悬挂横幅50条。</w:t>
      </w:r>
    </w:p>
    <w:p w14:paraId="70D80FFD">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二是抓建设工程监管。严格把关，对不合格、不符合国家产品目录和国家明令淘汰的建材，严禁使用于工程。凡是发现不按规定实施的，将责令整改；对拒不整改的，将依据有关法律法规从严、从重处理。</w:t>
      </w:r>
    </w:p>
    <w:p w14:paraId="0BBB9EE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三是抓安全生产和环保整治。根据中央第六生态环境保护督察组要求，按照“管行业必须管环保、管行业必须管安全”的精神，从4月6至5月6日，对全市新型墙材企业开展了为期一个月的安全生产隐患排查和环保督查整治工作，发现安全生产隐患5 起，影响生态环境事件 12 例。现已全面整改到位，并顺利通过了</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DECC7FF">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3BB99BC">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25F23005">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3901E85">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1">
    <w:nsid w:val="6B7626E4"/>
    <w:multiLevelType w:val="singleLevel"/>
    <w:tmpl w:val="6B7626E4"/>
    <w:lvl w:ilvl="0" w:tentative="0">
      <w:start w:val="1"/>
      <w:numFmt w:val="chineseCounting"/>
      <w:suff w:val="nothing"/>
      <w:lvlText w:val="%1、"/>
      <w:lvlJc w:val="left"/>
      <w:rPr>
        <w:rFonts w:hint="eastAsia"/>
      </w:rPr>
    </w:lvl>
  </w:abstractNum>
  <w:abstractNum w:abstractNumId="2">
    <w:nsid w:val="7391B667"/>
    <w:multiLevelType w:val="singleLevel"/>
    <w:tmpl w:val="7391B667"/>
    <w:lvl w:ilvl="0" w:tentative="0">
      <w:start w:val="8"/>
      <w:numFmt w:val="chineseCounting"/>
      <w:suff w:val="nothing"/>
      <w:lvlText w:val="%1、"/>
      <w:lvlJc w:val="left"/>
      <w:rPr>
        <w:rFonts w:hint="eastAsia"/>
      </w:rPr>
    </w:lvl>
  </w:abstractNum>
  <w:abstractNum w:abstractNumId="3">
    <w:nsid w:val="7C6A3C7B"/>
    <w:multiLevelType w:val="singleLevel"/>
    <w:tmpl w:val="7C6A3C7B"/>
    <w:lvl w:ilvl="0" w:tentative="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xNjcyMjk0ZWZmMDMwMjAzMTEwZTliN2JlZWQzZGUifQ=="/>
  </w:docVars>
  <w:rsids>
    <w:rsidRoot w:val="00000000"/>
    <w:rsid w:val="00416C14"/>
    <w:rsid w:val="01AF3811"/>
    <w:rsid w:val="03795BF7"/>
    <w:rsid w:val="063C0DBA"/>
    <w:rsid w:val="086E756B"/>
    <w:rsid w:val="0A194D12"/>
    <w:rsid w:val="0ACF37E5"/>
    <w:rsid w:val="0B400BC6"/>
    <w:rsid w:val="0E68228D"/>
    <w:rsid w:val="10E90416"/>
    <w:rsid w:val="15276E52"/>
    <w:rsid w:val="19D32FBC"/>
    <w:rsid w:val="1E6A4395"/>
    <w:rsid w:val="25557A3D"/>
    <w:rsid w:val="26EA5ED7"/>
    <w:rsid w:val="27A93B82"/>
    <w:rsid w:val="28B766F6"/>
    <w:rsid w:val="2AE00186"/>
    <w:rsid w:val="2FCA31F6"/>
    <w:rsid w:val="308216BE"/>
    <w:rsid w:val="34FE1149"/>
    <w:rsid w:val="3A550786"/>
    <w:rsid w:val="3B7A130F"/>
    <w:rsid w:val="42574ED0"/>
    <w:rsid w:val="4F8B6063"/>
    <w:rsid w:val="52F22FC1"/>
    <w:rsid w:val="52FA3F96"/>
    <w:rsid w:val="55850F17"/>
    <w:rsid w:val="57AE6D93"/>
    <w:rsid w:val="5FB623A7"/>
    <w:rsid w:val="64BE25DF"/>
    <w:rsid w:val="662D1AFE"/>
    <w:rsid w:val="6E3851B0"/>
    <w:rsid w:val="72020159"/>
    <w:rsid w:val="75524408"/>
    <w:rsid w:val="7A4D1FE3"/>
    <w:rsid w:val="7C52743D"/>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2735</Words>
  <Characters>2928</Characters>
  <TotalTime>0</TotalTime>
  <ScaleCrop>false</ScaleCrop>
  <LinksUpToDate>false</LinksUpToDate>
  <CharactersWithSpaces>3030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2024-08-12T03:33:08Z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2052-12.1.0.17827</vt:lpwstr>
  </property>
  <property fmtid="{D5CDD505-2E9C-101B-9397-08002B2CF9AE}" pid="6" name="ICV">
    <vt:lpwstr>A1E9AC54BF58440288AD196632C2A254_12</vt:lpwstr>
  </property>
</Properties>
</file>