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1"/>
        <w:gridCol w:w="1161"/>
        <w:gridCol w:w="961"/>
        <w:gridCol w:w="963"/>
        <w:gridCol w:w="1082"/>
        <w:gridCol w:w="1042"/>
        <w:gridCol w:w="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328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22"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45"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9"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281" w:type="dxa"/>
            <w:vMerge w:val="continue"/>
            <w:tcBorders>
              <w:top w:val="nil"/>
            </w:tcBorders>
            <w:vAlign w:val="center"/>
          </w:tcPr>
          <w:p>
            <w:pPr>
              <w:spacing w:line="240" w:lineRule="auto"/>
              <w:ind w:firstLine="420"/>
              <w:jc w:val="center"/>
              <w:rPr>
                <w:rFonts w:ascii="仿宋_GB2312" w:eastAsia="仿宋_GB2312"/>
                <w:kern w:val="0"/>
              </w:rPr>
            </w:pP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w:t>
            </w:r>
          </w:p>
        </w:tc>
        <w:tc>
          <w:tcPr>
            <w:tcW w:w="198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328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22"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45"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8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4.88</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10.7</w:t>
            </w:r>
          </w:p>
        </w:tc>
        <w:tc>
          <w:tcPr>
            <w:tcW w:w="198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28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22" w:type="dxa"/>
            <w:gridSpan w:val="2"/>
            <w:vAlign w:val="center"/>
          </w:tcPr>
          <w:p>
            <w:pPr>
              <w:spacing w:line="240" w:lineRule="auto"/>
              <w:ind w:firstLine="420"/>
              <w:jc w:val="center"/>
              <w:rPr>
                <w:rFonts w:ascii="仿宋_GB2312" w:eastAsia="仿宋_GB2312"/>
                <w:kern w:val="0"/>
                <w:lang w:eastAsia="zh-CN"/>
              </w:rPr>
            </w:pPr>
          </w:p>
        </w:tc>
        <w:tc>
          <w:tcPr>
            <w:tcW w:w="2045" w:type="dxa"/>
            <w:gridSpan w:val="2"/>
            <w:vAlign w:val="center"/>
          </w:tcPr>
          <w:p>
            <w:pPr>
              <w:spacing w:line="240" w:lineRule="auto"/>
              <w:ind w:firstLine="420"/>
              <w:jc w:val="center"/>
              <w:rPr>
                <w:rFonts w:ascii="仿宋_GB2312" w:eastAsia="仿宋_GB2312"/>
                <w:kern w:val="0"/>
                <w:lang w:eastAsia="zh-CN"/>
              </w:rPr>
            </w:pPr>
          </w:p>
        </w:tc>
        <w:tc>
          <w:tcPr>
            <w:tcW w:w="1989"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28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22" w:type="dxa"/>
            <w:gridSpan w:val="2"/>
            <w:vAlign w:val="center"/>
          </w:tcPr>
          <w:p>
            <w:pPr>
              <w:spacing w:line="240" w:lineRule="auto"/>
              <w:ind w:firstLine="420"/>
              <w:jc w:val="center"/>
              <w:rPr>
                <w:rFonts w:ascii="仿宋_GB2312" w:eastAsia="仿宋_GB2312"/>
                <w:kern w:val="0"/>
              </w:rPr>
            </w:pPr>
          </w:p>
        </w:tc>
        <w:tc>
          <w:tcPr>
            <w:tcW w:w="2045" w:type="dxa"/>
            <w:gridSpan w:val="2"/>
            <w:vAlign w:val="center"/>
          </w:tcPr>
          <w:p>
            <w:pPr>
              <w:spacing w:line="240" w:lineRule="auto"/>
              <w:ind w:firstLine="420"/>
              <w:jc w:val="center"/>
              <w:rPr>
                <w:rFonts w:ascii="仿宋_GB2312" w:eastAsia="仿宋_GB2312"/>
                <w:kern w:val="0"/>
              </w:rPr>
            </w:pPr>
          </w:p>
        </w:tc>
        <w:tc>
          <w:tcPr>
            <w:tcW w:w="1989"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28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22" w:type="dxa"/>
            <w:gridSpan w:val="2"/>
            <w:vAlign w:val="center"/>
          </w:tcPr>
          <w:p>
            <w:pPr>
              <w:spacing w:line="240" w:lineRule="auto"/>
              <w:ind w:firstLine="420"/>
              <w:jc w:val="center"/>
              <w:rPr>
                <w:rFonts w:ascii="仿宋_GB2312" w:eastAsia="仿宋_GB2312"/>
                <w:kern w:val="0"/>
              </w:rPr>
            </w:pPr>
          </w:p>
        </w:tc>
        <w:tc>
          <w:tcPr>
            <w:tcW w:w="2045" w:type="dxa"/>
            <w:gridSpan w:val="2"/>
            <w:vAlign w:val="center"/>
          </w:tcPr>
          <w:p>
            <w:pPr>
              <w:spacing w:line="240" w:lineRule="auto"/>
              <w:ind w:firstLine="420"/>
              <w:jc w:val="center"/>
              <w:rPr>
                <w:rFonts w:ascii="仿宋_GB2312" w:eastAsia="仿宋_GB2312"/>
                <w:kern w:val="0"/>
              </w:rPr>
            </w:pPr>
          </w:p>
        </w:tc>
        <w:tc>
          <w:tcPr>
            <w:tcW w:w="1989"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8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22" w:type="dxa"/>
            <w:gridSpan w:val="2"/>
            <w:vAlign w:val="center"/>
          </w:tcPr>
          <w:p>
            <w:pPr>
              <w:spacing w:line="240" w:lineRule="auto"/>
              <w:ind w:firstLine="420"/>
              <w:jc w:val="center"/>
              <w:rPr>
                <w:rFonts w:ascii="仿宋_GB2312" w:eastAsia="仿宋_GB2312"/>
                <w:kern w:val="0"/>
              </w:rPr>
            </w:pPr>
          </w:p>
        </w:tc>
        <w:tc>
          <w:tcPr>
            <w:tcW w:w="2045" w:type="dxa"/>
            <w:gridSpan w:val="2"/>
            <w:vAlign w:val="center"/>
          </w:tcPr>
          <w:p>
            <w:pPr>
              <w:spacing w:line="240" w:lineRule="auto"/>
              <w:ind w:firstLine="420"/>
              <w:jc w:val="center"/>
              <w:rPr>
                <w:rFonts w:ascii="仿宋_GB2312" w:eastAsia="仿宋_GB2312"/>
                <w:kern w:val="0"/>
              </w:rPr>
            </w:pPr>
          </w:p>
        </w:tc>
        <w:tc>
          <w:tcPr>
            <w:tcW w:w="1989"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328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4.88</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10.7</w:t>
            </w:r>
          </w:p>
        </w:tc>
        <w:tc>
          <w:tcPr>
            <w:tcW w:w="198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7" w:hRule="atLeast"/>
        </w:trPr>
        <w:tc>
          <w:tcPr>
            <w:tcW w:w="328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42.44</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88</w:t>
            </w:r>
          </w:p>
        </w:tc>
        <w:tc>
          <w:tcPr>
            <w:tcW w:w="198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328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22" w:type="dxa"/>
            <w:gridSpan w:val="2"/>
            <w:vAlign w:val="center"/>
          </w:tcPr>
          <w:p>
            <w:pPr>
              <w:spacing w:line="240" w:lineRule="auto"/>
              <w:ind w:firstLine="420"/>
              <w:jc w:val="center"/>
              <w:rPr>
                <w:rFonts w:ascii="仿宋_GB2312" w:eastAsia="仿宋_GB2312"/>
                <w:kern w:val="0"/>
              </w:rPr>
            </w:pPr>
          </w:p>
        </w:tc>
        <w:tc>
          <w:tcPr>
            <w:tcW w:w="2045" w:type="dxa"/>
            <w:gridSpan w:val="2"/>
            <w:vAlign w:val="center"/>
          </w:tcPr>
          <w:p>
            <w:pPr>
              <w:spacing w:line="240" w:lineRule="auto"/>
              <w:ind w:firstLine="420"/>
              <w:jc w:val="center"/>
              <w:rPr>
                <w:rFonts w:ascii="仿宋_GB2312" w:eastAsia="仿宋_GB2312"/>
                <w:kern w:val="0"/>
              </w:rPr>
            </w:pPr>
          </w:p>
        </w:tc>
        <w:tc>
          <w:tcPr>
            <w:tcW w:w="1989"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328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22" w:type="dxa"/>
            <w:gridSpan w:val="2"/>
            <w:vAlign w:val="center"/>
          </w:tcPr>
          <w:p>
            <w:pPr>
              <w:spacing w:line="240" w:lineRule="auto"/>
              <w:ind w:firstLine="420"/>
              <w:jc w:val="center"/>
              <w:rPr>
                <w:rFonts w:ascii="仿宋_GB2312" w:eastAsia="仿宋_GB2312"/>
                <w:kern w:val="0"/>
              </w:rPr>
            </w:pPr>
          </w:p>
        </w:tc>
        <w:tc>
          <w:tcPr>
            <w:tcW w:w="2045" w:type="dxa"/>
            <w:gridSpan w:val="2"/>
            <w:vAlign w:val="center"/>
          </w:tcPr>
          <w:p>
            <w:pPr>
              <w:spacing w:line="240" w:lineRule="auto"/>
              <w:ind w:firstLine="420"/>
              <w:jc w:val="center"/>
              <w:rPr>
                <w:rFonts w:ascii="仿宋_GB2312" w:eastAsia="仿宋_GB2312"/>
                <w:kern w:val="0"/>
              </w:rPr>
            </w:pPr>
          </w:p>
        </w:tc>
        <w:tc>
          <w:tcPr>
            <w:tcW w:w="1989"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328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42.44</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88</w:t>
            </w:r>
          </w:p>
        </w:tc>
        <w:tc>
          <w:tcPr>
            <w:tcW w:w="198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3281" w:type="dxa"/>
            <w:vAlign w:val="center"/>
          </w:tcPr>
          <w:p>
            <w:pPr>
              <w:spacing w:line="240" w:lineRule="auto"/>
              <w:ind w:firstLine="420" w:firstLineChars="200"/>
              <w:jc w:val="both"/>
              <w:rPr>
                <w:rFonts w:hint="eastAsia" w:ascii="仿宋_GB2312" w:hAnsi="宋体" w:eastAsia="仿宋_GB2312" w:cs="宋体"/>
                <w:kern w:val="0"/>
                <w:lang w:eastAsia="zh-CN"/>
              </w:rPr>
            </w:pPr>
            <w:r>
              <w:rPr>
                <w:rFonts w:hint="eastAsia" w:ascii="仿宋_GB2312" w:hAnsi="宋体" w:eastAsia="仿宋_GB2312" w:cs="宋体"/>
                <w:kern w:val="0"/>
              </w:rPr>
              <w:t>民族及宗教处置</w:t>
            </w:r>
            <w:r>
              <w:rPr>
                <w:rFonts w:hint="eastAsia" w:ascii="仿宋_GB2312" w:hAnsi="宋体" w:eastAsia="仿宋_GB2312" w:cs="宋体"/>
                <w:kern w:val="0"/>
                <w:lang w:eastAsia="zh-CN"/>
              </w:rPr>
              <w:t>专项</w:t>
            </w:r>
            <w:r>
              <w:rPr>
                <w:rFonts w:hint="eastAsia" w:ascii="仿宋_GB2312" w:hAnsi="宋体" w:eastAsia="仿宋_GB2312" w:cs="宋体"/>
                <w:kern w:val="0"/>
              </w:rPr>
              <w:t>工作</w:t>
            </w: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19.08</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w:t>
            </w:r>
          </w:p>
        </w:tc>
        <w:tc>
          <w:tcPr>
            <w:tcW w:w="198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3281" w:type="dxa"/>
            <w:vAlign w:val="center"/>
          </w:tcPr>
          <w:p>
            <w:pPr>
              <w:spacing w:line="240" w:lineRule="auto"/>
              <w:ind w:firstLine="420" w:firstLineChars="200"/>
              <w:jc w:val="both"/>
              <w:rPr>
                <w:rFonts w:hint="eastAsia" w:ascii="仿宋_GB2312" w:hAnsi="宋体" w:eastAsia="仿宋_GB2312" w:cs="宋体"/>
                <w:kern w:val="0"/>
                <w:lang w:eastAsia="zh-CN"/>
              </w:rPr>
            </w:pPr>
            <w:r>
              <w:rPr>
                <w:rFonts w:hint="eastAsia" w:ascii="仿宋_GB2312" w:hAnsi="宋体" w:eastAsia="仿宋_GB2312" w:cs="宋体"/>
                <w:kern w:val="0"/>
              </w:rPr>
              <w:t>“迎老乡、回故乡、建家乡”工作经费</w:t>
            </w: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4.37</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98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3281" w:type="dxa"/>
            <w:vAlign w:val="center"/>
          </w:tcPr>
          <w:p>
            <w:pPr>
              <w:spacing w:line="240" w:lineRule="auto"/>
              <w:ind w:firstLine="420" w:firstLineChars="200"/>
              <w:jc w:val="both"/>
              <w:rPr>
                <w:rFonts w:hint="eastAsia" w:ascii="仿宋_GB2312" w:hAnsi="宋体" w:eastAsia="仿宋_GB2312" w:cs="宋体"/>
                <w:kern w:val="0"/>
                <w:lang w:eastAsia="zh-CN"/>
              </w:rPr>
            </w:pPr>
            <w:r>
              <w:rPr>
                <w:rFonts w:hint="eastAsia" w:ascii="仿宋_GB2312" w:hAnsi="宋体" w:eastAsia="仿宋_GB2312" w:cs="宋体"/>
                <w:kern w:val="0"/>
              </w:rPr>
              <w:t>非公党组织建设及党外干部管理</w:t>
            </w:r>
            <w:r>
              <w:rPr>
                <w:rFonts w:hint="eastAsia" w:ascii="仿宋_GB2312" w:hAnsi="宋体" w:eastAsia="仿宋_GB2312" w:cs="宋体"/>
                <w:kern w:val="0"/>
                <w:lang w:eastAsia="zh-CN"/>
              </w:rPr>
              <w:t>工作</w:t>
            </w: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0.33</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1989" w:type="dxa"/>
            <w:gridSpan w:val="2"/>
            <w:vAlign w:val="center"/>
          </w:tcPr>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rPr>
              <w:t>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3281"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rPr>
              <w:t>侨联专项工作</w:t>
            </w: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2.53</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1989" w:type="dxa"/>
            <w:gridSpan w:val="2"/>
            <w:vAlign w:val="center"/>
          </w:tcPr>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3281"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rPr>
              <w:t>光彩事业及同心工程</w:t>
            </w:r>
            <w:r>
              <w:rPr>
                <w:rFonts w:hint="eastAsia" w:ascii="仿宋_GB2312" w:hAnsi="宋体" w:eastAsia="仿宋_GB2312" w:cs="宋体"/>
                <w:kern w:val="0"/>
                <w:lang w:eastAsia="zh-CN"/>
              </w:rPr>
              <w:t>工作</w:t>
            </w: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8.18</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w:t>
            </w:r>
          </w:p>
        </w:tc>
        <w:tc>
          <w:tcPr>
            <w:tcW w:w="198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3281"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rPr>
              <w:t>党外知识分子联谊会活动经费</w:t>
            </w: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7.57</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98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3281"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两</w:t>
            </w:r>
            <w:r>
              <w:rPr>
                <w:rFonts w:hint="eastAsia" w:ascii="仿宋_GB2312" w:hAnsi="宋体" w:eastAsia="仿宋_GB2312" w:cs="宋体"/>
                <w:kern w:val="0"/>
              </w:rPr>
              <w:t>岸交流及海外联络联谊工作</w:t>
            </w:r>
          </w:p>
        </w:tc>
        <w:tc>
          <w:tcPr>
            <w:tcW w:w="2122" w:type="dxa"/>
            <w:gridSpan w:val="2"/>
            <w:vAlign w:val="center"/>
          </w:tcPr>
          <w:p>
            <w:pPr>
              <w:spacing w:line="240" w:lineRule="auto"/>
              <w:ind w:firstLine="420"/>
              <w:jc w:val="center"/>
              <w:rPr>
                <w:rFonts w:ascii="仿宋_GB2312" w:eastAsia="仿宋_GB2312"/>
                <w:kern w:val="0"/>
                <w:lang w:eastAsia="zh-CN"/>
              </w:rPr>
            </w:pP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w:t>
            </w:r>
          </w:p>
        </w:tc>
        <w:tc>
          <w:tcPr>
            <w:tcW w:w="198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3281"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rPr>
              <w:t>调研培训专项工作</w:t>
            </w:r>
          </w:p>
        </w:tc>
        <w:tc>
          <w:tcPr>
            <w:tcW w:w="2122" w:type="dxa"/>
            <w:gridSpan w:val="2"/>
            <w:vAlign w:val="center"/>
          </w:tcPr>
          <w:p>
            <w:pPr>
              <w:spacing w:line="240" w:lineRule="auto"/>
              <w:ind w:firstLine="420"/>
              <w:jc w:val="center"/>
              <w:rPr>
                <w:rFonts w:ascii="仿宋_GB2312" w:eastAsia="仿宋_GB2312"/>
                <w:kern w:val="0"/>
                <w:lang w:eastAsia="zh-CN"/>
              </w:rPr>
            </w:pP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198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3281" w:type="dxa"/>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rPr>
              <w:t>起义投诚人员生活补助</w:t>
            </w: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0.38</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w:t>
            </w:r>
          </w:p>
        </w:tc>
        <w:tc>
          <w:tcPr>
            <w:tcW w:w="198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28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117.68</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50.94</w:t>
            </w:r>
          </w:p>
        </w:tc>
        <w:tc>
          <w:tcPr>
            <w:tcW w:w="198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28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8.57</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2.47</w:t>
            </w:r>
          </w:p>
        </w:tc>
        <w:tc>
          <w:tcPr>
            <w:tcW w:w="198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28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3.47</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7.79</w:t>
            </w:r>
          </w:p>
        </w:tc>
        <w:tc>
          <w:tcPr>
            <w:tcW w:w="198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28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4.49</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w:t>
            </w:r>
          </w:p>
        </w:tc>
        <w:tc>
          <w:tcPr>
            <w:tcW w:w="1989"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28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22"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0.86</w:t>
            </w:r>
          </w:p>
        </w:tc>
        <w:tc>
          <w:tcPr>
            <w:tcW w:w="204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98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8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22" w:type="dxa"/>
            <w:gridSpan w:val="2"/>
            <w:vAlign w:val="center"/>
          </w:tcPr>
          <w:p>
            <w:pPr>
              <w:spacing w:line="240" w:lineRule="auto"/>
              <w:ind w:firstLine="420"/>
              <w:jc w:val="center"/>
              <w:rPr>
                <w:rFonts w:ascii="仿宋_GB2312" w:eastAsia="仿宋_GB2312"/>
                <w:kern w:val="0"/>
                <w:lang w:eastAsia="zh-CN"/>
              </w:rPr>
            </w:pPr>
          </w:p>
        </w:tc>
        <w:tc>
          <w:tcPr>
            <w:tcW w:w="2045" w:type="dxa"/>
            <w:gridSpan w:val="2"/>
            <w:vAlign w:val="center"/>
          </w:tcPr>
          <w:p>
            <w:pPr>
              <w:spacing w:line="240" w:lineRule="auto"/>
              <w:ind w:firstLine="420"/>
              <w:jc w:val="center"/>
              <w:rPr>
                <w:rFonts w:ascii="仿宋_GB2312" w:eastAsia="仿宋_GB2312"/>
                <w:kern w:val="0"/>
                <w:lang w:eastAsia="zh-CN"/>
              </w:rPr>
            </w:pPr>
          </w:p>
        </w:tc>
        <w:tc>
          <w:tcPr>
            <w:tcW w:w="1989"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328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61"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61"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82"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42"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7"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7" w:hRule="atLeast"/>
        </w:trPr>
        <w:tc>
          <w:tcPr>
            <w:tcW w:w="328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61"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1"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3"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82"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42"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7"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2" w:hRule="atLeast"/>
        </w:trPr>
        <w:tc>
          <w:tcPr>
            <w:tcW w:w="328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56" w:type="dxa"/>
            <w:gridSpan w:val="6"/>
            <w:vAlign w:val="center"/>
          </w:tcPr>
          <w:p>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(一)严格控制一般性费用支出</w:t>
            </w:r>
          </w:p>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一是节约使用办公用品。凡属于政府采购目录内的物品，必须经按市政府采购的相关程序和要求执行。购买日常办公用品时，厉行节约的原则，尽力压缩办公用品、耗材支出。积极推广无纸化办公，打印和复印用纸及打印的一次性讨论稿等能双面使用的要回收使用。正确精心维护办公设备，延长使用寿命，节省办公耗材。</w:t>
            </w:r>
          </w:p>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二是节约用电、用水。尽量减少计算机、打印机、复印机等办公设备的待机电耗。坚持安全用电、规范用电，不使用与工作无关的电器设备.下班必须关闭办公设备电源，养成随手关灯习惯。节</w:t>
            </w:r>
          </w:p>
          <w:p>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约用水，不要出现长流水和跑冒滴漏现象</w:t>
            </w:r>
          </w:p>
          <w:p>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(二)严格控制公务接待费用支出</w:t>
            </w:r>
          </w:p>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一是严格公务接待管理。严格按照中央八项规定要求。本着热情、周到、节约的原则，控制公务接待标准，认真做好接待工作，上级部门来我部调研和检查的公务接待活动，一切从简，坚决杜绝铺张浪费。召开各类会议，原则上不挂会标，一律不摆鲜花水果，</w:t>
            </w:r>
          </w:p>
          <w:p>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会议力求精简高效。</w:t>
            </w:r>
          </w:p>
          <w:p>
            <w:pPr>
              <w:spacing w:line="240" w:lineRule="auto"/>
              <w:ind w:firstLine="420"/>
              <w:jc w:val="center"/>
              <w:rPr>
                <w:rFonts w:hint="eastAsia" w:eastAsia="宋体" w:cs="Arial"/>
                <w:snapToGrid w:val="0"/>
                <w:color w:val="000000"/>
                <w:sz w:val="21"/>
                <w:szCs w:val="21"/>
                <w:lang w:val="en-US" w:eastAsia="zh-CN" w:bidi="ar-SA"/>
              </w:rPr>
            </w:pPr>
            <w:r>
              <w:rPr>
                <w:rFonts w:hint="eastAsia" w:ascii="仿宋_GB2312" w:eastAsia="仿宋_GB2312"/>
                <w:kern w:val="0"/>
                <w:lang w:val="en-US" w:eastAsia="zh-CN"/>
              </w:rPr>
              <w:t>二是严格管理各类因公差旅费支出。严格执行中央、省、岳阳市和我市市委市政府的有关规定，管理各类因公差旅费支出。</w:t>
            </w:r>
          </w:p>
          <w:p>
            <w:pPr>
              <w:tabs>
                <w:tab w:val="left" w:pos="919"/>
              </w:tabs>
              <w:kinsoku w:val="0"/>
              <w:autoSpaceDE w:val="0"/>
              <w:autoSpaceDN w:val="0"/>
              <w:adjustRightInd w:val="0"/>
              <w:snapToGrid w:val="0"/>
              <w:ind w:firstLine="420"/>
              <w:jc w:val="left"/>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ab/>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唐秀明</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2023.6.15</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5225060</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周琴</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中共汨罗市委统一战线工作部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332.77</w:t>
            </w:r>
          </w:p>
        </w:tc>
        <w:tc>
          <w:tcPr>
            <w:tcW w:w="1298"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384.22</w:t>
            </w:r>
          </w:p>
        </w:tc>
        <w:tc>
          <w:tcPr>
            <w:tcW w:w="1269"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384.22</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100.0%</w:t>
            </w:r>
          </w:p>
        </w:tc>
        <w:tc>
          <w:tcPr>
            <w:tcW w:w="1423" w:type="dxa"/>
            <w:vAlign w:val="center"/>
          </w:tcPr>
          <w:p>
            <w:pPr>
              <w:spacing w:line="240" w:lineRule="auto"/>
              <w:ind w:firstLine="630" w:firstLineChars="300"/>
              <w:jc w:val="both"/>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384.22</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287.49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96.73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jc w:val="both"/>
              <w:rPr>
                <w:rFonts w:hint="eastAsia" w:ascii="仿宋_GB2312" w:eastAsia="仿宋_GB2312"/>
                <w:kern w:val="0"/>
              </w:rPr>
            </w:pPr>
            <w:r>
              <w:rPr>
                <w:rFonts w:hint="eastAsia" w:ascii="仿宋_GB2312" w:eastAsia="仿宋_GB2312"/>
                <w:kern w:val="0"/>
              </w:rPr>
              <w:t>任务1：强化政治引领，构建大统战工作格局</w:t>
            </w:r>
          </w:p>
          <w:p>
            <w:pPr>
              <w:spacing w:line="240" w:lineRule="auto"/>
              <w:jc w:val="both"/>
              <w:rPr>
                <w:rFonts w:hint="eastAsia" w:ascii="仿宋_GB2312" w:eastAsia="仿宋_GB2312"/>
                <w:kern w:val="0"/>
              </w:rPr>
            </w:pPr>
            <w:r>
              <w:rPr>
                <w:rFonts w:hint="eastAsia" w:ascii="仿宋_GB2312" w:eastAsia="仿宋_GB2312"/>
                <w:kern w:val="0"/>
              </w:rPr>
              <w:t>任务2：聚焦“两个健康”，抓实民营经济统战工作</w:t>
            </w:r>
          </w:p>
          <w:p>
            <w:pPr>
              <w:spacing w:line="240" w:lineRule="auto"/>
              <w:jc w:val="both"/>
              <w:rPr>
                <w:rFonts w:hint="eastAsia" w:ascii="仿宋_GB2312" w:eastAsia="仿宋_GB2312"/>
                <w:kern w:val="0"/>
              </w:rPr>
            </w:pPr>
            <w:r>
              <w:rPr>
                <w:rFonts w:hint="eastAsia" w:ascii="仿宋_GB2312" w:eastAsia="仿宋_GB2312"/>
                <w:kern w:val="0"/>
              </w:rPr>
              <w:t>任务3：发挥统战优势，助推乡村全面振兴</w:t>
            </w:r>
          </w:p>
          <w:p>
            <w:pPr>
              <w:spacing w:line="240" w:lineRule="auto"/>
              <w:jc w:val="both"/>
              <w:rPr>
                <w:rFonts w:hint="eastAsia" w:ascii="仿宋_GB2312" w:eastAsia="仿宋_GB2312"/>
                <w:kern w:val="0"/>
              </w:rPr>
            </w:pPr>
            <w:r>
              <w:rPr>
                <w:rFonts w:hint="eastAsia" w:ascii="仿宋_GB2312" w:eastAsia="仿宋_GB2312"/>
                <w:kern w:val="0"/>
              </w:rPr>
              <w:t>任务4：强化民族宗教工作，维护社会和谐稳定</w:t>
            </w:r>
          </w:p>
        </w:tc>
        <w:tc>
          <w:tcPr>
            <w:tcW w:w="4260" w:type="dxa"/>
            <w:gridSpan w:val="4"/>
            <w:vAlign w:val="center"/>
          </w:tcPr>
          <w:p>
            <w:pPr>
              <w:spacing w:line="240" w:lineRule="auto"/>
              <w:jc w:val="both"/>
              <w:rPr>
                <w:rFonts w:ascii="仿宋_GB2312" w:eastAsia="仿宋_GB2312"/>
                <w:kern w:val="0"/>
              </w:rPr>
            </w:pPr>
            <w:r>
              <w:rPr>
                <w:rFonts w:hint="eastAsia" w:ascii="仿宋_GB2312" w:eastAsia="仿宋_GB2312"/>
                <w:kern w:val="0"/>
                <w:sz w:val="15"/>
                <w:szCs w:val="15"/>
              </w:rPr>
              <w:t>（1）4次传达学习中央、省、市统战工作精神；推动屈子文化园成功争创“国字号”华侨文化交流基地，画好最大“同心圆”；吸纳126名党外知识分子加入知联会；开展统一战线“同心•大讲堂”22期；累计捐款600余万元，捐物价值500余万元。（2）新签约项目105个，新开工项目74个，新投产项目49个，新增国家级专精特新“小巨人”企业3家，新增省级专精特新“小巨人”企业8家；建立民营企业党组织401个，实现全覆盖，打造示范标杆13个，创建全省“两新”先进基层党组织1个。（3）已创建省级同心美丽乡村2个、同心社区1个，岳阳市级同心美丽乡村5个、同心社区1个，县级同心美丽乡村12个、同心社区1个；新阶联主席黄勇光出资260万元支持家乡教育建设；广东商会执行会长黄吉光带资600万元回乡推动高丰村“小田改大田”改革，中央焦点访谈重点推介；湖南优冠实业董事长钟高明捐建25个中小学高标准运动场；全年累计投入资金近2000余万元，努力将序贤村打造为湖南省乡村振兴示范村。（4）将乡镇派出所教导员、村辅警明确为镇、村级宗教工作协理员，由村（社区）网格员担任宗教工作信息员，分级建立规范信息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5"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both"/>
              <w:rPr>
                <w:rFonts w:ascii="仿宋_GB2312" w:eastAsia="仿宋_GB2312"/>
                <w:kern w:val="0"/>
                <w:sz w:val="15"/>
                <w:szCs w:val="15"/>
              </w:rPr>
            </w:pPr>
            <w:r>
              <w:rPr>
                <w:rFonts w:hint="eastAsia" w:ascii="仿宋_GB2312" w:eastAsia="仿宋_GB2312"/>
                <w:kern w:val="0"/>
                <w:sz w:val="15"/>
                <w:szCs w:val="15"/>
              </w:rPr>
              <w:t>全力开展“迎老乡、回故乡、建家乡”主题活动。</w:t>
            </w:r>
          </w:p>
        </w:tc>
        <w:tc>
          <w:tcPr>
            <w:tcW w:w="1298" w:type="dxa"/>
            <w:vAlign w:val="center"/>
          </w:tcPr>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汨罗市委统战部扎实抓好民营经济统战工作，新签约项目105个，新开工项目74个，新投产项目49个，新增国家级专精特新“小巨人”企业3家，新增省级专精特新“小巨人”企业8家。</w:t>
            </w:r>
          </w:p>
        </w:tc>
        <w:tc>
          <w:tcPr>
            <w:tcW w:w="1269" w:type="dxa"/>
            <w:vAlign w:val="center"/>
          </w:tcPr>
          <w:p>
            <w:pPr>
              <w:spacing w:line="240" w:lineRule="auto"/>
              <w:jc w:val="center"/>
              <w:rPr>
                <w:rFonts w:hint="eastAsia" w:ascii="仿宋_GB2312" w:eastAsia="仿宋_GB2312"/>
                <w:kern w:val="0"/>
                <w:sz w:val="15"/>
                <w:szCs w:val="15"/>
                <w:lang w:eastAsia="zh-CN"/>
              </w:rPr>
            </w:pPr>
            <w:r>
              <w:rPr>
                <w:rFonts w:hint="eastAsia" w:ascii="仿宋_GB2312" w:eastAsia="仿宋_GB2312"/>
                <w:kern w:val="0"/>
                <w:sz w:val="15"/>
                <w:szCs w:val="15"/>
                <w:lang w:eastAsia="zh-CN"/>
              </w:rPr>
              <w:t>已完成</w:t>
            </w:r>
          </w:p>
        </w:tc>
        <w:tc>
          <w:tcPr>
            <w:tcW w:w="69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2</w:t>
            </w:r>
          </w:p>
        </w:tc>
        <w:tc>
          <w:tcPr>
            <w:tcW w:w="86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2</w:t>
            </w:r>
          </w:p>
        </w:tc>
        <w:tc>
          <w:tcPr>
            <w:tcW w:w="1423" w:type="dxa"/>
            <w:vAlign w:val="center"/>
          </w:tcPr>
          <w:p>
            <w:pPr>
              <w:spacing w:line="240" w:lineRule="auto"/>
              <w:jc w:val="center"/>
              <w:rPr>
                <w:rFonts w:hint="eastAsia"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sz w:val="15"/>
                <w:szCs w:val="15"/>
              </w:rPr>
            </w:pPr>
            <w:r>
              <w:rPr>
                <w:rFonts w:hint="eastAsia" w:ascii="仿宋_GB2312" w:eastAsia="仿宋_GB2312"/>
                <w:kern w:val="0"/>
                <w:sz w:val="15"/>
                <w:szCs w:val="15"/>
              </w:rPr>
              <w:t>提升统战队伍能力水平；扎实开展“四明白四清楚”大调研。</w:t>
            </w:r>
          </w:p>
        </w:tc>
        <w:tc>
          <w:tcPr>
            <w:tcW w:w="1298" w:type="dxa"/>
            <w:vAlign w:val="center"/>
          </w:tcPr>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围绕产业集群、项目建设、招商引资、营商环境等开展15次专题调研，形成8个高质量调研报告；组织开展党外干部谈心谈话活动3次，吸纳126名党外知识分子加入知联会，开展统一战线“同心•大讲堂”22期</w:t>
            </w:r>
          </w:p>
        </w:tc>
        <w:tc>
          <w:tcPr>
            <w:tcW w:w="1269" w:type="dxa"/>
            <w:vAlign w:val="center"/>
          </w:tcPr>
          <w:p>
            <w:pPr>
              <w:spacing w:line="240" w:lineRule="auto"/>
              <w:jc w:val="center"/>
              <w:rPr>
                <w:rFonts w:hint="eastAsia" w:ascii="仿宋_GB2312" w:eastAsia="仿宋_GB2312"/>
                <w:kern w:val="0"/>
                <w:sz w:val="15"/>
                <w:szCs w:val="15"/>
                <w:lang w:eastAsia="zh-CN"/>
              </w:rPr>
            </w:pPr>
            <w:r>
              <w:rPr>
                <w:rFonts w:hint="eastAsia" w:ascii="仿宋_GB2312" w:eastAsia="仿宋_GB2312"/>
                <w:kern w:val="0"/>
                <w:sz w:val="15"/>
                <w:szCs w:val="15"/>
                <w:lang w:eastAsia="zh-CN"/>
              </w:rPr>
              <w:t>已完成</w:t>
            </w:r>
          </w:p>
        </w:tc>
        <w:tc>
          <w:tcPr>
            <w:tcW w:w="69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2</w:t>
            </w:r>
          </w:p>
        </w:tc>
        <w:tc>
          <w:tcPr>
            <w:tcW w:w="86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2</w:t>
            </w:r>
          </w:p>
        </w:tc>
        <w:tc>
          <w:tcPr>
            <w:tcW w:w="1423" w:type="dxa"/>
            <w:vAlign w:val="center"/>
          </w:tcPr>
          <w:p>
            <w:pPr>
              <w:spacing w:line="240" w:lineRule="auto"/>
              <w:jc w:val="center"/>
              <w:rPr>
                <w:rFonts w:hint="eastAsia"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sz w:val="15"/>
                <w:szCs w:val="15"/>
              </w:rPr>
            </w:pPr>
            <w:r>
              <w:rPr>
                <w:rFonts w:hint="eastAsia" w:ascii="仿宋_GB2312" w:eastAsia="仿宋_GB2312"/>
                <w:kern w:val="0"/>
                <w:sz w:val="15"/>
                <w:szCs w:val="15"/>
              </w:rPr>
              <w:t>强化民族宗教工作，维护社会和谐稳定</w:t>
            </w:r>
          </w:p>
        </w:tc>
        <w:tc>
          <w:tcPr>
            <w:tcW w:w="1298" w:type="dxa"/>
            <w:vAlign w:val="center"/>
          </w:tcPr>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将乡镇派出所教导员、村辅警明确为镇、村级宗教工作协理员，由村（社区）网格员担任宗教工作信息员，分级建立规范信息台账。对涉及政治领域、社会领域、海外利益等领域进行安全排查，持续深入开展非法宗教活动治理</w:t>
            </w:r>
          </w:p>
        </w:tc>
        <w:tc>
          <w:tcPr>
            <w:tcW w:w="1269" w:type="dxa"/>
            <w:vAlign w:val="center"/>
          </w:tcPr>
          <w:p>
            <w:pPr>
              <w:spacing w:line="240" w:lineRule="auto"/>
              <w:jc w:val="center"/>
              <w:rPr>
                <w:rFonts w:hint="eastAsia" w:ascii="仿宋_GB2312" w:eastAsia="仿宋_GB2312"/>
                <w:kern w:val="0"/>
                <w:sz w:val="15"/>
                <w:szCs w:val="15"/>
                <w:lang w:eastAsia="zh-CN"/>
              </w:rPr>
            </w:pPr>
            <w:r>
              <w:rPr>
                <w:rFonts w:hint="eastAsia" w:ascii="仿宋_GB2312" w:eastAsia="仿宋_GB2312"/>
                <w:kern w:val="0"/>
                <w:sz w:val="15"/>
                <w:szCs w:val="15"/>
                <w:lang w:eastAsia="zh-CN"/>
              </w:rPr>
              <w:t>已完成</w:t>
            </w:r>
          </w:p>
        </w:tc>
        <w:tc>
          <w:tcPr>
            <w:tcW w:w="69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4</w:t>
            </w:r>
          </w:p>
        </w:tc>
        <w:tc>
          <w:tcPr>
            <w:tcW w:w="86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4</w:t>
            </w:r>
          </w:p>
        </w:tc>
        <w:tc>
          <w:tcPr>
            <w:tcW w:w="1423" w:type="dxa"/>
            <w:vAlign w:val="center"/>
          </w:tcPr>
          <w:p>
            <w:pPr>
              <w:spacing w:line="240" w:lineRule="auto"/>
              <w:jc w:val="center"/>
              <w:rPr>
                <w:rFonts w:hint="eastAsia"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sz w:val="15"/>
                <w:szCs w:val="15"/>
              </w:rPr>
            </w:pPr>
            <w:r>
              <w:rPr>
                <w:rFonts w:hint="eastAsia" w:ascii="仿宋_GB2312" w:eastAsia="仿宋_GB2312"/>
                <w:kern w:val="0"/>
                <w:sz w:val="15"/>
                <w:szCs w:val="15"/>
              </w:rPr>
              <w:t>着力推动信息报送工作提质提效</w:t>
            </w:r>
          </w:p>
        </w:tc>
        <w:tc>
          <w:tcPr>
            <w:tcW w:w="1298" w:type="dxa"/>
            <w:vAlign w:val="center"/>
          </w:tcPr>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向岳阳市委统战部报送宣传类信息80篇，动态、调研类信息37篇，15次专题调研，8个高质量调研报告</w:t>
            </w:r>
          </w:p>
        </w:tc>
        <w:tc>
          <w:tcPr>
            <w:tcW w:w="1269" w:type="dxa"/>
            <w:vAlign w:val="center"/>
          </w:tcPr>
          <w:p>
            <w:pPr>
              <w:spacing w:line="240" w:lineRule="auto"/>
              <w:jc w:val="center"/>
              <w:rPr>
                <w:rFonts w:hint="eastAsia" w:ascii="仿宋_GB2312" w:eastAsia="仿宋_GB2312"/>
                <w:kern w:val="0"/>
                <w:sz w:val="15"/>
                <w:szCs w:val="15"/>
                <w:lang w:eastAsia="zh-CN"/>
              </w:rPr>
            </w:pPr>
            <w:r>
              <w:rPr>
                <w:rFonts w:hint="eastAsia" w:ascii="仿宋_GB2312" w:eastAsia="仿宋_GB2312"/>
                <w:kern w:val="0"/>
                <w:sz w:val="15"/>
                <w:szCs w:val="15"/>
                <w:lang w:eastAsia="zh-CN"/>
              </w:rPr>
              <w:t>已完成</w:t>
            </w:r>
          </w:p>
        </w:tc>
        <w:tc>
          <w:tcPr>
            <w:tcW w:w="69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2</w:t>
            </w:r>
          </w:p>
        </w:tc>
        <w:tc>
          <w:tcPr>
            <w:tcW w:w="86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2</w:t>
            </w:r>
          </w:p>
        </w:tc>
        <w:tc>
          <w:tcPr>
            <w:tcW w:w="1423" w:type="dxa"/>
            <w:vAlign w:val="center"/>
          </w:tcPr>
          <w:p>
            <w:pPr>
              <w:spacing w:line="240" w:lineRule="auto"/>
              <w:jc w:val="center"/>
              <w:rPr>
                <w:rFonts w:hint="eastAsia"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发挥统战优势，助推乡村全面振兴，全力创建“同心美丽乡村”。</w:t>
            </w:r>
          </w:p>
        </w:tc>
        <w:tc>
          <w:tcPr>
            <w:tcW w:w="1298" w:type="dxa"/>
            <w:vAlign w:val="center"/>
          </w:tcPr>
          <w:p>
            <w:pPr>
              <w:spacing w:line="240" w:lineRule="auto"/>
              <w:jc w:val="both"/>
              <w:rPr>
                <w:rFonts w:hint="eastAsia" w:ascii="仿宋_GB2312" w:eastAsia="仿宋_GB2312"/>
                <w:kern w:val="0"/>
                <w:sz w:val="15"/>
                <w:szCs w:val="15"/>
                <w:lang w:val="en-US" w:eastAsia="en-US"/>
              </w:rPr>
            </w:pPr>
            <w:r>
              <w:rPr>
                <w:rFonts w:hint="default" w:ascii="仿宋_GB2312" w:eastAsia="仿宋_GB2312"/>
                <w:kern w:val="0"/>
                <w:sz w:val="15"/>
                <w:szCs w:val="15"/>
                <w:lang w:val="en-US" w:eastAsia="zh-CN"/>
              </w:rPr>
              <w:t>已创建省级同心美丽乡村2个、同心社区1个，岳阳市级同心美丽乡村5个、同心社区1个，县级同心美丽乡村12个、同心社区1个。</w:t>
            </w:r>
          </w:p>
        </w:tc>
        <w:tc>
          <w:tcPr>
            <w:tcW w:w="126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已完成</w:t>
            </w:r>
          </w:p>
        </w:tc>
        <w:tc>
          <w:tcPr>
            <w:tcW w:w="69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86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1423" w:type="dxa"/>
            <w:vAlign w:val="center"/>
          </w:tcPr>
          <w:p>
            <w:pPr>
              <w:spacing w:line="240" w:lineRule="auto"/>
              <w:jc w:val="center"/>
              <w:rPr>
                <w:rFonts w:hint="eastAsia"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发挥统战优势，助推乡村全面振兴，深入实施“万企兴万村”行动。</w:t>
            </w:r>
          </w:p>
        </w:tc>
        <w:tc>
          <w:tcPr>
            <w:tcW w:w="1298" w:type="dxa"/>
            <w:vAlign w:val="center"/>
          </w:tcPr>
          <w:p>
            <w:pPr>
              <w:spacing w:line="240" w:lineRule="auto"/>
              <w:jc w:val="both"/>
              <w:rPr>
                <w:rFonts w:hint="eastAsia" w:ascii="仿宋_GB2312" w:eastAsia="仿宋_GB2312"/>
                <w:kern w:val="0"/>
                <w:sz w:val="15"/>
                <w:szCs w:val="15"/>
                <w:lang w:val="en-US" w:eastAsia="en-US"/>
              </w:rPr>
            </w:pPr>
            <w:r>
              <w:rPr>
                <w:rFonts w:hint="default" w:ascii="仿宋_GB2312" w:eastAsia="仿宋_GB2312"/>
                <w:kern w:val="0"/>
                <w:sz w:val="15"/>
                <w:szCs w:val="15"/>
                <w:lang w:val="en-US" w:eastAsia="zh-CN"/>
              </w:rPr>
              <w:t>广泛发动寓外乡友、统战社团、社会乡贤围绕乡村产业发展、教育改革、基础建设等方面献计出力，如新阶联主席黄勇光出资260万元支持家乡教育建设；广东商会执行会长黄吉光带资600万元回乡推动高丰村“小田改大田”改革，中央焦点访谈重点推介；湖南优冠实业董事长钟高明捐建25个中小学高标准运动场。</w:t>
            </w:r>
          </w:p>
        </w:tc>
        <w:tc>
          <w:tcPr>
            <w:tcW w:w="1269" w:type="dxa"/>
            <w:vAlign w:val="center"/>
          </w:tcPr>
          <w:p>
            <w:pPr>
              <w:spacing w:line="240" w:lineRule="auto"/>
              <w:jc w:val="center"/>
              <w:rPr>
                <w:rFonts w:hint="eastAsia" w:ascii="仿宋_GB2312" w:eastAsia="仿宋_GB2312"/>
                <w:kern w:val="0"/>
                <w:sz w:val="15"/>
                <w:szCs w:val="15"/>
              </w:rPr>
            </w:pPr>
            <w:r>
              <w:rPr>
                <w:rFonts w:hint="eastAsia" w:ascii="仿宋_GB2312" w:eastAsia="仿宋_GB2312"/>
                <w:kern w:val="0"/>
                <w:sz w:val="15"/>
                <w:szCs w:val="15"/>
                <w:lang w:val="en-US" w:eastAsia="zh-CN"/>
              </w:rPr>
              <w:t>已完成</w:t>
            </w:r>
          </w:p>
        </w:tc>
        <w:tc>
          <w:tcPr>
            <w:tcW w:w="69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86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1423" w:type="dxa"/>
            <w:vAlign w:val="center"/>
          </w:tcPr>
          <w:p>
            <w:pPr>
              <w:spacing w:line="240" w:lineRule="auto"/>
              <w:jc w:val="center"/>
              <w:rPr>
                <w:rFonts w:hint="eastAsia"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both"/>
              <w:rPr>
                <w:rFonts w:hint="eastAsia" w:ascii="仿宋_GB2312" w:eastAsia="仿宋_GB2312"/>
                <w:kern w:val="0"/>
                <w:sz w:val="15"/>
                <w:szCs w:val="15"/>
                <w:lang w:val="en-US" w:eastAsia="zh-CN"/>
              </w:rPr>
            </w:pPr>
            <w:r>
              <w:rPr>
                <w:rFonts w:hint="eastAsia" w:ascii="仿宋_GB2312" w:eastAsia="仿宋_GB2312"/>
                <w:kern w:val="0"/>
                <w:sz w:val="15"/>
                <w:szCs w:val="15"/>
                <w:lang w:eastAsia="zh-CN"/>
              </w:rPr>
              <w:t>按时完成各项任务</w:t>
            </w:r>
          </w:p>
        </w:tc>
        <w:tc>
          <w:tcPr>
            <w:tcW w:w="1298" w:type="dxa"/>
            <w:vAlign w:val="center"/>
          </w:tcPr>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202</w:t>
            </w:r>
            <w:r>
              <w:rPr>
                <w:rFonts w:hint="eastAsia" w:ascii="仿宋_GB2312" w:eastAsia="仿宋_GB2312"/>
                <w:kern w:val="0"/>
                <w:sz w:val="15"/>
                <w:szCs w:val="15"/>
                <w:lang w:val="en-US" w:eastAsia="zh-CN"/>
              </w:rPr>
              <w:t>2</w:t>
            </w:r>
            <w:r>
              <w:rPr>
                <w:rFonts w:hint="eastAsia" w:ascii="仿宋_GB2312" w:eastAsia="仿宋_GB2312"/>
                <w:kern w:val="0"/>
                <w:sz w:val="15"/>
                <w:szCs w:val="15"/>
              </w:rPr>
              <w:t>年1-12月</w:t>
            </w:r>
          </w:p>
        </w:tc>
        <w:tc>
          <w:tcPr>
            <w:tcW w:w="1269" w:type="dxa"/>
            <w:vAlign w:val="center"/>
          </w:tcPr>
          <w:p>
            <w:pPr>
              <w:spacing w:line="240" w:lineRule="auto"/>
              <w:jc w:val="center"/>
              <w:rPr>
                <w:rFonts w:hint="eastAsia" w:ascii="仿宋_GB2312" w:eastAsia="仿宋_GB2312"/>
                <w:kern w:val="0"/>
                <w:sz w:val="15"/>
                <w:szCs w:val="15"/>
              </w:rPr>
            </w:pPr>
            <w:r>
              <w:rPr>
                <w:rFonts w:hint="eastAsia" w:ascii="仿宋_GB2312" w:eastAsia="仿宋_GB2312"/>
                <w:kern w:val="0"/>
                <w:sz w:val="15"/>
                <w:szCs w:val="15"/>
                <w:lang w:val="en-US" w:eastAsia="zh-CN"/>
              </w:rPr>
              <w:t>已完成</w:t>
            </w:r>
          </w:p>
        </w:tc>
        <w:tc>
          <w:tcPr>
            <w:tcW w:w="699" w:type="dxa"/>
            <w:vAlign w:val="center"/>
          </w:tcPr>
          <w:p>
            <w:pPr>
              <w:spacing w:line="240" w:lineRule="auto"/>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869" w:type="dxa"/>
            <w:vAlign w:val="center"/>
          </w:tcPr>
          <w:p>
            <w:pPr>
              <w:spacing w:line="240" w:lineRule="auto"/>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1423" w:type="dxa"/>
            <w:vAlign w:val="center"/>
          </w:tcPr>
          <w:p>
            <w:pPr>
              <w:spacing w:line="240" w:lineRule="auto"/>
              <w:jc w:val="center"/>
              <w:rPr>
                <w:rFonts w:hint="eastAsia"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tcBorders>
              <w:bottom w:val="single" w:color="auto" w:sz="4" w:space="0"/>
            </w:tcBorders>
            <w:vAlign w:val="center"/>
          </w:tcPr>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凝聚统战力量，充分发挥界别优势</w:t>
            </w:r>
          </w:p>
        </w:tc>
        <w:tc>
          <w:tcPr>
            <w:tcW w:w="1298" w:type="dxa"/>
            <w:tcBorders>
              <w:bottom w:val="single" w:color="auto" w:sz="4" w:space="0"/>
            </w:tcBorders>
            <w:vAlign w:val="center"/>
          </w:tcPr>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疫情期间，凝聚统战力量，充分发挥界别优势，组织发动新阶联、知联会、民营企业、佛道教协会等力量捐资捐物，用实际行动展现统一战线各界人士的责任与担当。2022年，累计捐款600余万元，捐物价值500余万元。</w:t>
            </w:r>
          </w:p>
        </w:tc>
        <w:tc>
          <w:tcPr>
            <w:tcW w:w="1269" w:type="dxa"/>
            <w:vAlign w:val="center"/>
          </w:tcPr>
          <w:p>
            <w:pPr>
              <w:spacing w:line="240" w:lineRule="auto"/>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已完成</w:t>
            </w:r>
          </w:p>
        </w:tc>
        <w:tc>
          <w:tcPr>
            <w:tcW w:w="699" w:type="dxa"/>
            <w:vAlign w:val="center"/>
          </w:tcPr>
          <w:p>
            <w:pPr>
              <w:spacing w:line="240" w:lineRule="auto"/>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869" w:type="dxa"/>
            <w:vAlign w:val="center"/>
          </w:tcPr>
          <w:p>
            <w:pPr>
              <w:spacing w:line="240" w:lineRule="auto"/>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1423" w:type="dxa"/>
            <w:vAlign w:val="center"/>
          </w:tcPr>
          <w:p>
            <w:pPr>
              <w:spacing w:line="240" w:lineRule="auto"/>
              <w:jc w:val="center"/>
              <w:rPr>
                <w:rFonts w:hint="eastAsia"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bottom w:val="nil"/>
            </w:tcBorders>
            <w:vAlign w:val="center"/>
          </w:tcPr>
          <w:p>
            <w:pPr>
              <w:spacing w:line="240" w:lineRule="auto"/>
              <w:ind w:firstLine="420"/>
              <w:jc w:val="center"/>
              <w:rPr>
                <w:rFonts w:ascii="仿宋_GB2312" w:eastAsia="仿宋_GB2312"/>
                <w:kern w:val="0"/>
              </w:rPr>
            </w:pPr>
          </w:p>
        </w:tc>
        <w:tc>
          <w:tcPr>
            <w:tcW w:w="1029" w:type="dxa"/>
            <w:tcBorders>
              <w:top w:val="single" w:color="auto" w:sz="4" w:space="0"/>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tcBorders>
              <w:top w:val="single" w:color="auto" w:sz="4" w:space="0"/>
            </w:tcBorders>
            <w:vAlign w:val="center"/>
          </w:tcPr>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发挥统一战线资源优势，助推社会发展</w:t>
            </w:r>
          </w:p>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1.着力推动党外干部队伍建设提质提效。</w:t>
            </w:r>
          </w:p>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2.全力打造汨罗新阶联特色品牌。</w:t>
            </w:r>
          </w:p>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3.提升商会建设质效。</w:t>
            </w:r>
          </w:p>
        </w:tc>
        <w:tc>
          <w:tcPr>
            <w:tcW w:w="1298" w:type="dxa"/>
            <w:tcBorders>
              <w:top w:val="single" w:color="auto" w:sz="4" w:space="0"/>
            </w:tcBorders>
            <w:vAlign w:val="center"/>
          </w:tcPr>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1、进一步落实党外干部配备比率，全市党外领导干部基本实现“应配尽配”。2、实施“汇新兴汨”工程，开展“高考学子分享会”“税务知识大讲堂”“法律知识大讲堂”等活动，全力打造汨罗新阶联特色品牌。3、加强</w:t>
            </w:r>
            <w:r>
              <w:rPr>
                <w:rFonts w:hint="eastAsia" w:ascii="仿宋_GB2312" w:eastAsia="仿宋_GB2312"/>
                <w:kern w:val="0"/>
                <w:sz w:val="15"/>
                <w:szCs w:val="15"/>
                <w:lang w:val="en-US" w:eastAsia="zh-CN"/>
              </w:rPr>
              <w:t xml:space="preserve">  </w:t>
            </w:r>
            <w:r>
              <w:rPr>
                <w:rFonts w:hint="eastAsia" w:ascii="仿宋_GB2312" w:eastAsia="仿宋_GB2312"/>
                <w:kern w:val="0"/>
                <w:sz w:val="15"/>
                <w:szCs w:val="15"/>
              </w:rPr>
              <w:t>商会组织的建设管理，抓好商会党建，全市建立民营企业党组织401个，实现全覆盖，打造示范标杆13个，创建全省“两新”先进基层党组织1个。</w:t>
            </w:r>
          </w:p>
        </w:tc>
        <w:tc>
          <w:tcPr>
            <w:tcW w:w="1269" w:type="dxa"/>
            <w:vAlign w:val="center"/>
          </w:tcPr>
          <w:p>
            <w:pPr>
              <w:spacing w:line="240" w:lineRule="auto"/>
              <w:jc w:val="center"/>
              <w:rPr>
                <w:rFonts w:hint="eastAsia" w:ascii="仿宋_GB2312" w:eastAsia="仿宋_GB2312"/>
                <w:kern w:val="0"/>
                <w:sz w:val="15"/>
                <w:szCs w:val="15"/>
                <w:lang w:eastAsia="zh-CN"/>
              </w:rPr>
            </w:pPr>
            <w:r>
              <w:rPr>
                <w:rFonts w:hint="eastAsia" w:ascii="仿宋_GB2312" w:eastAsia="仿宋_GB2312"/>
                <w:kern w:val="0"/>
                <w:sz w:val="15"/>
                <w:szCs w:val="15"/>
                <w:lang w:eastAsia="zh-CN"/>
              </w:rPr>
              <w:t>已完成</w:t>
            </w:r>
          </w:p>
        </w:tc>
        <w:tc>
          <w:tcPr>
            <w:tcW w:w="699" w:type="dxa"/>
            <w:vAlign w:val="center"/>
          </w:tcPr>
          <w:p>
            <w:pPr>
              <w:spacing w:line="240" w:lineRule="auto"/>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869" w:type="dxa"/>
            <w:vAlign w:val="center"/>
          </w:tcPr>
          <w:p>
            <w:pPr>
              <w:spacing w:line="240" w:lineRule="auto"/>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1423" w:type="dxa"/>
            <w:vAlign w:val="center"/>
          </w:tcPr>
          <w:p>
            <w:pPr>
              <w:spacing w:line="240" w:lineRule="auto"/>
              <w:jc w:val="center"/>
              <w:rPr>
                <w:rFonts w:hint="eastAsia"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对自然生态环境造成的负面影响</w:t>
            </w:r>
          </w:p>
        </w:tc>
        <w:tc>
          <w:tcPr>
            <w:tcW w:w="1298" w:type="dxa"/>
            <w:vAlign w:val="center"/>
          </w:tcPr>
          <w:p>
            <w:pPr>
              <w:spacing w:line="240" w:lineRule="auto"/>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无</w:t>
            </w:r>
          </w:p>
        </w:tc>
        <w:tc>
          <w:tcPr>
            <w:tcW w:w="1269" w:type="dxa"/>
            <w:vAlign w:val="center"/>
          </w:tcPr>
          <w:p>
            <w:pPr>
              <w:spacing w:line="240" w:lineRule="auto"/>
              <w:jc w:val="center"/>
              <w:rPr>
                <w:rFonts w:hint="eastAsia" w:ascii="仿宋_GB2312" w:eastAsia="仿宋_GB2312"/>
                <w:kern w:val="0"/>
                <w:sz w:val="15"/>
                <w:szCs w:val="15"/>
                <w:lang w:eastAsia="zh-CN"/>
              </w:rPr>
            </w:pPr>
            <w:r>
              <w:rPr>
                <w:rFonts w:hint="eastAsia" w:ascii="仿宋_GB2312" w:eastAsia="仿宋_GB2312"/>
                <w:kern w:val="0"/>
                <w:sz w:val="15"/>
                <w:szCs w:val="15"/>
                <w:lang w:eastAsia="zh-CN"/>
              </w:rPr>
              <w:t>无负面影响</w:t>
            </w:r>
          </w:p>
        </w:tc>
        <w:tc>
          <w:tcPr>
            <w:tcW w:w="69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86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1423" w:type="dxa"/>
            <w:vAlign w:val="center"/>
          </w:tcPr>
          <w:p>
            <w:pPr>
              <w:spacing w:line="240" w:lineRule="auto"/>
              <w:jc w:val="center"/>
              <w:rPr>
                <w:rFonts w:hint="eastAsia"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可持续影响</w:t>
            </w:r>
          </w:p>
        </w:tc>
        <w:tc>
          <w:tcPr>
            <w:tcW w:w="1298" w:type="dxa"/>
            <w:vAlign w:val="center"/>
          </w:tcPr>
          <w:p>
            <w:pPr>
              <w:spacing w:line="240" w:lineRule="auto"/>
              <w:jc w:val="center"/>
              <w:rPr>
                <w:rFonts w:hint="eastAsia" w:ascii="仿宋_GB2312" w:eastAsia="仿宋_GB2312"/>
                <w:kern w:val="0"/>
                <w:sz w:val="15"/>
                <w:szCs w:val="15"/>
                <w:lang w:eastAsia="zh-CN"/>
              </w:rPr>
            </w:pPr>
            <w:r>
              <w:rPr>
                <w:rFonts w:hint="eastAsia" w:ascii="仿宋_GB2312" w:eastAsia="仿宋_GB2312"/>
                <w:kern w:val="0"/>
                <w:sz w:val="15"/>
                <w:szCs w:val="15"/>
                <w:lang w:eastAsia="zh-CN"/>
              </w:rPr>
              <w:t>持续</w:t>
            </w:r>
          </w:p>
        </w:tc>
        <w:tc>
          <w:tcPr>
            <w:tcW w:w="1269" w:type="dxa"/>
            <w:vAlign w:val="center"/>
          </w:tcPr>
          <w:p>
            <w:pPr>
              <w:spacing w:line="240" w:lineRule="auto"/>
              <w:jc w:val="center"/>
              <w:rPr>
                <w:rFonts w:hint="eastAsia" w:ascii="仿宋_GB2312" w:eastAsia="仿宋_GB2312"/>
                <w:kern w:val="0"/>
                <w:sz w:val="15"/>
                <w:szCs w:val="15"/>
                <w:lang w:eastAsia="zh-CN"/>
              </w:rPr>
            </w:pPr>
            <w:r>
              <w:rPr>
                <w:rFonts w:hint="eastAsia" w:ascii="仿宋_GB2312" w:eastAsia="仿宋_GB2312"/>
                <w:kern w:val="0"/>
                <w:sz w:val="15"/>
                <w:szCs w:val="15"/>
                <w:lang w:eastAsia="zh-CN"/>
              </w:rPr>
              <w:t>持续</w:t>
            </w:r>
          </w:p>
        </w:tc>
        <w:tc>
          <w:tcPr>
            <w:tcW w:w="69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86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1423" w:type="dxa"/>
            <w:vAlign w:val="center"/>
          </w:tcPr>
          <w:p>
            <w:pPr>
              <w:spacing w:line="240" w:lineRule="auto"/>
              <w:jc w:val="center"/>
              <w:rPr>
                <w:rFonts w:hint="eastAsia"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single" w:color="auto" w:sz="4" w:space="0"/>
            </w:tcBorders>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服务对象满意度指</w:t>
            </w:r>
          </w:p>
          <w:p>
            <w:pPr>
              <w:spacing w:line="240" w:lineRule="auto"/>
              <w:jc w:val="both"/>
              <w:rPr>
                <w:rFonts w:ascii="仿宋_GB2312" w:eastAsia="仿宋_GB2312"/>
                <w:kern w:val="0"/>
              </w:rPr>
            </w:pPr>
            <w:bookmarkStart w:id="0" w:name="_GoBack"/>
            <w:bookmarkEnd w:id="0"/>
            <w:r>
              <w:rPr>
                <w:rFonts w:hint="eastAsia" w:ascii="仿宋_GB2312" w:hAnsi="宋体" w:eastAsia="仿宋_GB2312" w:cs="宋体"/>
                <w:kern w:val="0"/>
              </w:rPr>
              <w:t>标</w:t>
            </w:r>
          </w:p>
        </w:tc>
        <w:tc>
          <w:tcPr>
            <w:tcW w:w="1249" w:type="dxa"/>
            <w:tcBorders>
              <w:bottom w:val="single" w:color="auto" w:sz="4" w:space="0"/>
            </w:tcBorders>
            <w:vAlign w:val="center"/>
          </w:tcPr>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统一战线各方面人士满意度</w:t>
            </w:r>
          </w:p>
        </w:tc>
        <w:tc>
          <w:tcPr>
            <w:tcW w:w="1298" w:type="dxa"/>
            <w:tcBorders>
              <w:bottom w:val="single" w:color="auto" w:sz="4" w:space="0"/>
            </w:tcBorders>
            <w:vAlign w:val="center"/>
          </w:tcPr>
          <w:p>
            <w:pPr>
              <w:spacing w:line="240" w:lineRule="auto"/>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99%</w:t>
            </w:r>
          </w:p>
        </w:tc>
        <w:tc>
          <w:tcPr>
            <w:tcW w:w="1269" w:type="dxa"/>
            <w:tcBorders>
              <w:bottom w:val="single" w:color="auto" w:sz="4" w:space="0"/>
            </w:tcBorders>
            <w:vAlign w:val="center"/>
          </w:tcPr>
          <w:p>
            <w:pPr>
              <w:spacing w:line="240" w:lineRule="auto"/>
              <w:jc w:val="center"/>
              <w:rPr>
                <w:rFonts w:hint="eastAsia" w:ascii="仿宋_GB2312" w:eastAsia="仿宋_GB2312"/>
                <w:kern w:val="0"/>
                <w:sz w:val="15"/>
                <w:szCs w:val="15"/>
                <w:lang w:eastAsia="zh-CN"/>
              </w:rPr>
            </w:pPr>
            <w:r>
              <w:rPr>
                <w:rFonts w:hint="eastAsia" w:ascii="仿宋_GB2312" w:eastAsia="仿宋_GB2312"/>
                <w:kern w:val="0"/>
                <w:sz w:val="15"/>
                <w:szCs w:val="15"/>
                <w:lang w:eastAsia="zh-CN"/>
              </w:rPr>
              <w:t>达到预期目标</w:t>
            </w:r>
          </w:p>
        </w:tc>
        <w:tc>
          <w:tcPr>
            <w:tcW w:w="699" w:type="dxa"/>
            <w:tcBorders>
              <w:bottom w:val="single" w:color="auto" w:sz="4" w:space="0"/>
            </w:tcBorders>
            <w:vAlign w:val="center"/>
          </w:tcPr>
          <w:p>
            <w:pPr>
              <w:spacing w:line="240" w:lineRule="auto"/>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869" w:type="dxa"/>
            <w:tcBorders>
              <w:bottom w:val="single" w:color="auto" w:sz="4" w:space="0"/>
            </w:tcBorders>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9</w:t>
            </w:r>
          </w:p>
        </w:tc>
        <w:tc>
          <w:tcPr>
            <w:tcW w:w="1423" w:type="dxa"/>
            <w:vAlign w:val="center"/>
          </w:tcPr>
          <w:p>
            <w:pPr>
              <w:spacing w:line="240" w:lineRule="auto"/>
              <w:jc w:val="center"/>
              <w:rPr>
                <w:rFonts w:hint="eastAsia"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tcBorders>
              <w:top w:val="single" w:color="auto" w:sz="4" w:space="0"/>
            </w:tcBorders>
            <w:vAlign w:val="center"/>
          </w:tcPr>
          <w:p>
            <w:pPr>
              <w:spacing w:line="240" w:lineRule="auto"/>
              <w:jc w:val="center"/>
              <w:rPr>
                <w:rFonts w:hint="eastAsia" w:ascii="仿宋_GB2312" w:eastAsia="仿宋_GB2312"/>
                <w:kern w:val="0"/>
                <w:sz w:val="15"/>
                <w:szCs w:val="15"/>
              </w:rPr>
            </w:pPr>
            <w:r>
              <w:rPr>
                <w:rFonts w:hint="eastAsia" w:ascii="仿宋_GB2312" w:eastAsia="仿宋_GB2312"/>
                <w:kern w:val="0"/>
                <w:sz w:val="15"/>
                <w:szCs w:val="15"/>
              </w:rPr>
              <w:t>控制在预算内</w:t>
            </w:r>
          </w:p>
        </w:tc>
        <w:tc>
          <w:tcPr>
            <w:tcW w:w="1298" w:type="dxa"/>
            <w:tcBorders>
              <w:top w:val="single" w:color="auto" w:sz="4" w:space="0"/>
            </w:tcBorders>
            <w:vAlign w:val="center"/>
          </w:tcPr>
          <w:p>
            <w:pPr>
              <w:spacing w:line="240" w:lineRule="auto"/>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88</w:t>
            </w:r>
          </w:p>
        </w:tc>
        <w:tc>
          <w:tcPr>
            <w:tcW w:w="1269" w:type="dxa"/>
            <w:tcBorders>
              <w:top w:val="single" w:color="auto" w:sz="4" w:space="0"/>
            </w:tcBorders>
            <w:vAlign w:val="center"/>
          </w:tcPr>
          <w:p>
            <w:pPr>
              <w:spacing w:line="240" w:lineRule="auto"/>
              <w:jc w:val="center"/>
              <w:rPr>
                <w:rFonts w:hint="default" w:ascii="仿宋_GB2312" w:eastAsia="仿宋_GB2312"/>
                <w:kern w:val="0"/>
                <w:sz w:val="15"/>
                <w:szCs w:val="15"/>
                <w:lang w:val="en-US"/>
              </w:rPr>
            </w:pPr>
            <w:r>
              <w:rPr>
                <w:rFonts w:hint="eastAsia" w:ascii="仿宋_GB2312" w:eastAsia="仿宋_GB2312"/>
                <w:kern w:val="0"/>
                <w:sz w:val="15"/>
                <w:szCs w:val="15"/>
                <w:lang w:val="en-US" w:eastAsia="zh-CN"/>
              </w:rPr>
              <w:t>96.73</w:t>
            </w:r>
          </w:p>
        </w:tc>
        <w:tc>
          <w:tcPr>
            <w:tcW w:w="699" w:type="dxa"/>
            <w:tcBorders>
              <w:top w:val="single" w:color="auto" w:sz="4" w:space="0"/>
            </w:tcBorders>
            <w:vAlign w:val="center"/>
          </w:tcPr>
          <w:p>
            <w:pPr>
              <w:spacing w:line="240" w:lineRule="auto"/>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869" w:type="dxa"/>
            <w:tcBorders>
              <w:top w:val="single" w:color="auto" w:sz="4" w:space="0"/>
            </w:tcBorders>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9</w:t>
            </w:r>
          </w:p>
        </w:tc>
        <w:tc>
          <w:tcPr>
            <w:tcW w:w="1423" w:type="dxa"/>
            <w:vAlign w:val="center"/>
          </w:tcPr>
          <w:p>
            <w:pPr>
              <w:spacing w:line="240" w:lineRule="auto"/>
              <w:jc w:val="center"/>
              <w:rPr>
                <w:rFonts w:hint="eastAsia"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jc w:val="center"/>
              <w:rPr>
                <w:rFonts w:hint="eastAsia" w:ascii="仿宋_GB2312" w:eastAsia="仿宋_GB2312"/>
                <w:kern w:val="0"/>
                <w:sz w:val="15"/>
                <w:szCs w:val="15"/>
              </w:rPr>
            </w:pPr>
            <w:r>
              <w:rPr>
                <w:rFonts w:hint="eastAsia" w:ascii="仿宋_GB2312" w:eastAsia="仿宋_GB2312"/>
                <w:kern w:val="0"/>
                <w:sz w:val="15"/>
                <w:szCs w:val="15"/>
              </w:rPr>
              <w:t>对社会可能造成的</w:t>
            </w:r>
          </w:p>
          <w:p>
            <w:pPr>
              <w:spacing w:line="240" w:lineRule="auto"/>
              <w:jc w:val="both"/>
              <w:rPr>
                <w:rFonts w:hint="eastAsia" w:ascii="仿宋_GB2312" w:eastAsia="仿宋_GB2312"/>
                <w:kern w:val="0"/>
                <w:sz w:val="15"/>
                <w:szCs w:val="15"/>
              </w:rPr>
            </w:pPr>
            <w:r>
              <w:rPr>
                <w:rFonts w:hint="eastAsia" w:ascii="仿宋_GB2312" w:eastAsia="仿宋_GB2312"/>
                <w:kern w:val="0"/>
                <w:sz w:val="15"/>
                <w:szCs w:val="15"/>
              </w:rPr>
              <w:t>负面影响</w:t>
            </w:r>
          </w:p>
        </w:tc>
        <w:tc>
          <w:tcPr>
            <w:tcW w:w="1298" w:type="dxa"/>
            <w:vAlign w:val="center"/>
          </w:tcPr>
          <w:p>
            <w:pPr>
              <w:spacing w:line="240" w:lineRule="auto"/>
              <w:jc w:val="center"/>
              <w:rPr>
                <w:rFonts w:hint="eastAsia" w:ascii="仿宋_GB2312" w:eastAsia="仿宋_GB2312"/>
                <w:kern w:val="0"/>
                <w:sz w:val="15"/>
                <w:szCs w:val="15"/>
                <w:lang w:eastAsia="zh-CN"/>
              </w:rPr>
            </w:pPr>
            <w:r>
              <w:rPr>
                <w:rFonts w:hint="eastAsia" w:ascii="仿宋_GB2312" w:eastAsia="仿宋_GB2312"/>
                <w:kern w:val="0"/>
                <w:sz w:val="15"/>
                <w:szCs w:val="15"/>
                <w:lang w:eastAsia="zh-CN"/>
              </w:rPr>
              <w:t>无</w:t>
            </w:r>
          </w:p>
        </w:tc>
        <w:tc>
          <w:tcPr>
            <w:tcW w:w="1269" w:type="dxa"/>
            <w:vAlign w:val="center"/>
          </w:tcPr>
          <w:p>
            <w:pPr>
              <w:spacing w:line="240" w:lineRule="auto"/>
              <w:jc w:val="center"/>
              <w:rPr>
                <w:rFonts w:hint="eastAsia" w:ascii="仿宋_GB2312" w:eastAsia="仿宋_GB2312"/>
                <w:kern w:val="0"/>
                <w:sz w:val="15"/>
                <w:szCs w:val="15"/>
              </w:rPr>
            </w:pPr>
            <w:r>
              <w:rPr>
                <w:rFonts w:hint="eastAsia" w:ascii="仿宋_GB2312" w:eastAsia="仿宋_GB2312"/>
                <w:kern w:val="0"/>
                <w:sz w:val="15"/>
                <w:szCs w:val="15"/>
                <w:lang w:eastAsia="zh-CN"/>
              </w:rPr>
              <w:t>无负面影响</w:t>
            </w:r>
          </w:p>
        </w:tc>
        <w:tc>
          <w:tcPr>
            <w:tcW w:w="69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86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1423" w:type="dxa"/>
            <w:vAlign w:val="center"/>
          </w:tcPr>
          <w:p>
            <w:pPr>
              <w:spacing w:line="240" w:lineRule="auto"/>
              <w:jc w:val="center"/>
              <w:rPr>
                <w:rFonts w:hint="eastAsia"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jc w:val="center"/>
              <w:rPr>
                <w:rFonts w:hint="eastAsia" w:ascii="仿宋_GB2312" w:eastAsia="仿宋_GB2312"/>
                <w:kern w:val="0"/>
                <w:sz w:val="15"/>
                <w:szCs w:val="15"/>
              </w:rPr>
            </w:pPr>
            <w:r>
              <w:rPr>
                <w:rFonts w:hint="eastAsia" w:ascii="仿宋_GB2312" w:eastAsia="仿宋_GB2312"/>
                <w:kern w:val="0"/>
                <w:sz w:val="15"/>
                <w:szCs w:val="15"/>
              </w:rPr>
              <w:t>对自然生态环境可能造成的负面影响</w:t>
            </w:r>
          </w:p>
        </w:tc>
        <w:tc>
          <w:tcPr>
            <w:tcW w:w="1298" w:type="dxa"/>
            <w:vAlign w:val="center"/>
          </w:tcPr>
          <w:p>
            <w:pPr>
              <w:spacing w:line="240" w:lineRule="auto"/>
              <w:jc w:val="center"/>
              <w:rPr>
                <w:rFonts w:hint="eastAsia" w:ascii="仿宋_GB2312" w:eastAsia="仿宋_GB2312"/>
                <w:kern w:val="0"/>
                <w:sz w:val="15"/>
                <w:szCs w:val="15"/>
                <w:lang w:eastAsia="zh-CN"/>
              </w:rPr>
            </w:pPr>
            <w:r>
              <w:rPr>
                <w:rFonts w:hint="eastAsia" w:ascii="仿宋_GB2312" w:eastAsia="仿宋_GB2312"/>
                <w:kern w:val="0"/>
                <w:sz w:val="15"/>
                <w:szCs w:val="15"/>
                <w:lang w:eastAsia="zh-CN"/>
              </w:rPr>
              <w:t>无</w:t>
            </w:r>
          </w:p>
        </w:tc>
        <w:tc>
          <w:tcPr>
            <w:tcW w:w="1269" w:type="dxa"/>
            <w:vAlign w:val="center"/>
          </w:tcPr>
          <w:p>
            <w:pPr>
              <w:spacing w:line="240" w:lineRule="auto"/>
              <w:jc w:val="center"/>
              <w:rPr>
                <w:rFonts w:hint="eastAsia" w:ascii="仿宋_GB2312" w:eastAsia="仿宋_GB2312"/>
                <w:kern w:val="0"/>
                <w:sz w:val="15"/>
                <w:szCs w:val="15"/>
              </w:rPr>
            </w:pPr>
            <w:r>
              <w:rPr>
                <w:rFonts w:hint="eastAsia" w:ascii="仿宋_GB2312" w:eastAsia="仿宋_GB2312"/>
                <w:kern w:val="0"/>
                <w:sz w:val="15"/>
                <w:szCs w:val="15"/>
                <w:lang w:eastAsia="zh-CN"/>
              </w:rPr>
              <w:t>无负面影响</w:t>
            </w:r>
          </w:p>
        </w:tc>
        <w:tc>
          <w:tcPr>
            <w:tcW w:w="69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869" w:type="dxa"/>
            <w:vAlign w:val="center"/>
          </w:tcPr>
          <w:p>
            <w:pPr>
              <w:spacing w:line="240" w:lineRule="auto"/>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1423" w:type="dxa"/>
            <w:vAlign w:val="center"/>
          </w:tcPr>
          <w:p>
            <w:pPr>
              <w:spacing w:line="240" w:lineRule="auto"/>
              <w:jc w:val="center"/>
              <w:rPr>
                <w:rFonts w:hint="eastAsia" w:ascii="仿宋_GB2312" w:eastAsia="仿宋_GB2312"/>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869" w:type="dxa"/>
            <w:vAlign w:val="center"/>
          </w:tcPr>
          <w:p>
            <w:pPr>
              <w:spacing w:line="240" w:lineRule="auto"/>
              <w:ind w:firstLine="420" w:firstLineChars="200"/>
              <w:jc w:val="both"/>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唐秀明</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2023.6.15</w:t>
      </w:r>
      <w:r>
        <w:rPr>
          <w:rFonts w:ascii="仿宋_GB2312" w:hAnsi="宋体" w:eastAsia="仿宋_GB2312" w:cs="宋体"/>
          <w:snapToGrid w:val="0"/>
          <w:color w:val="000000"/>
          <w:sz w:val="21"/>
          <w:szCs w:val="21"/>
          <w:lang w:val="en-US" w:eastAsia="zh-CN" w:bidi="ar-SA"/>
        </w:rPr>
        <w:t xml:space="preserve">  联系电话： </w:t>
      </w:r>
      <w:r>
        <w:rPr>
          <w:rFonts w:hint="eastAsia" w:ascii="仿宋_GB2312" w:hAnsi="宋体" w:eastAsia="仿宋_GB2312" w:cs="宋体"/>
          <w:snapToGrid w:val="0"/>
          <w:color w:val="000000"/>
          <w:sz w:val="21"/>
          <w:szCs w:val="21"/>
          <w:lang w:val="en-US" w:eastAsia="zh-CN" w:bidi="ar-SA"/>
        </w:rPr>
        <w:t>5225060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r>
        <w:rPr>
          <w:rFonts w:hint="eastAsia" w:ascii="仿宋_GB2312" w:hAnsi="宋体" w:eastAsia="仿宋_GB2312" w:cs="宋体"/>
          <w:snapToGrid w:val="0"/>
          <w:color w:val="000000"/>
          <w:sz w:val="21"/>
          <w:szCs w:val="21"/>
          <w:lang w:val="en-US" w:eastAsia="zh-CN" w:bidi="ar-SA"/>
        </w:rPr>
        <w:t>周琴</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315"/>
        <w:gridCol w:w="883"/>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统战部专项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612" w:type="dxa"/>
            <w:gridSpan w:val="4"/>
            <w:vAlign w:val="center"/>
          </w:tcPr>
          <w:p>
            <w:pPr>
              <w:spacing w:line="240" w:lineRule="auto"/>
              <w:ind w:firstLine="420"/>
              <w:jc w:val="center"/>
              <w:rPr>
                <w:rFonts w:ascii="仿宋_GB2312" w:hAnsi="宋体" w:eastAsia="仿宋_GB2312" w:cs="宋体"/>
                <w:kern w:val="0"/>
                <w:lang w:eastAsia="zh-CN"/>
              </w:rPr>
            </w:pPr>
          </w:p>
        </w:tc>
        <w:tc>
          <w:tcPr>
            <w:tcW w:w="88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315"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88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88</w:t>
            </w:r>
          </w:p>
        </w:tc>
        <w:tc>
          <w:tcPr>
            <w:tcW w:w="1315"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96.73</w:t>
            </w:r>
          </w:p>
        </w:tc>
        <w:tc>
          <w:tcPr>
            <w:tcW w:w="883"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96.73</w:t>
            </w:r>
          </w:p>
        </w:tc>
        <w:tc>
          <w:tcPr>
            <w:tcW w:w="809" w:type="dxa"/>
            <w:vAlign w:val="center"/>
          </w:tcPr>
          <w:p>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10</w:t>
            </w:r>
          </w:p>
        </w:tc>
        <w:tc>
          <w:tcPr>
            <w:tcW w:w="849"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100.0%</w:t>
            </w:r>
          </w:p>
        </w:tc>
        <w:tc>
          <w:tcPr>
            <w:tcW w:w="1383"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88</w:t>
            </w:r>
          </w:p>
        </w:tc>
        <w:tc>
          <w:tcPr>
            <w:tcW w:w="1315"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96.73</w:t>
            </w:r>
          </w:p>
        </w:tc>
        <w:tc>
          <w:tcPr>
            <w:tcW w:w="883"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96.73</w:t>
            </w:r>
          </w:p>
        </w:tc>
        <w:tc>
          <w:tcPr>
            <w:tcW w:w="809" w:type="dxa"/>
            <w:vAlign w:val="center"/>
          </w:tcPr>
          <w:p>
            <w:pPr>
              <w:spacing w:line="240" w:lineRule="auto"/>
              <w:jc w:val="center"/>
              <w:rPr>
                <w:rFonts w:hint="eastAsia" w:ascii="仿宋_GB2312" w:hAnsi="宋体" w:eastAsia="仿宋_GB2312" w:cs="宋体"/>
                <w:kern w:val="0"/>
                <w:sz w:val="18"/>
                <w:szCs w:val="18"/>
                <w:lang w:eastAsia="zh-CN"/>
              </w:rPr>
            </w:pPr>
          </w:p>
        </w:tc>
        <w:tc>
          <w:tcPr>
            <w:tcW w:w="849" w:type="dxa"/>
            <w:vAlign w:val="center"/>
          </w:tcPr>
          <w:p>
            <w:pPr>
              <w:spacing w:line="240" w:lineRule="auto"/>
              <w:jc w:val="center"/>
              <w:rPr>
                <w:rFonts w:hint="eastAsia" w:ascii="仿宋_GB2312" w:hAnsi="宋体" w:eastAsia="仿宋_GB2312" w:cs="宋体"/>
                <w:kern w:val="0"/>
                <w:sz w:val="18"/>
                <w:szCs w:val="18"/>
                <w:lang w:eastAsia="zh-CN"/>
              </w:rPr>
            </w:pPr>
          </w:p>
        </w:tc>
        <w:tc>
          <w:tcPr>
            <w:tcW w:w="1383" w:type="dxa"/>
            <w:vAlign w:val="center"/>
          </w:tcPr>
          <w:p>
            <w:pPr>
              <w:spacing w:line="240" w:lineRule="auto"/>
              <w:jc w:val="center"/>
              <w:rPr>
                <w:rFonts w:hint="eastAsia" w:ascii="仿宋_GB2312" w:hAnsi="宋体" w:eastAsia="仿宋_GB2312" w:cs="宋体"/>
                <w:ker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315" w:type="dxa"/>
            <w:vAlign w:val="center"/>
          </w:tcPr>
          <w:p>
            <w:pPr>
              <w:spacing w:line="240" w:lineRule="auto"/>
              <w:ind w:firstLine="420"/>
              <w:jc w:val="center"/>
              <w:rPr>
                <w:rFonts w:ascii="仿宋_GB2312" w:hAnsi="宋体" w:eastAsia="仿宋_GB2312" w:cs="宋体"/>
                <w:kern w:val="0"/>
                <w:lang w:eastAsia="zh-CN"/>
              </w:rPr>
            </w:pPr>
          </w:p>
        </w:tc>
        <w:tc>
          <w:tcPr>
            <w:tcW w:w="883"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315" w:type="dxa"/>
            <w:vAlign w:val="center"/>
          </w:tcPr>
          <w:p>
            <w:pPr>
              <w:spacing w:line="240" w:lineRule="auto"/>
              <w:ind w:firstLine="420"/>
              <w:jc w:val="center"/>
              <w:rPr>
                <w:rFonts w:ascii="仿宋_GB2312" w:hAnsi="宋体" w:eastAsia="仿宋_GB2312" w:cs="宋体"/>
                <w:kern w:val="0"/>
              </w:rPr>
            </w:pPr>
          </w:p>
        </w:tc>
        <w:tc>
          <w:tcPr>
            <w:tcW w:w="883"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612"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3924"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612" w:type="dxa"/>
            <w:gridSpan w:val="4"/>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sz w:val="18"/>
                <w:szCs w:val="18"/>
                <w:lang w:val="en-US" w:eastAsia="zh-CN"/>
              </w:rPr>
              <w:t>统战部专项包括：民族及宗教处置工作、“迎老乡、回故乡、建家乡”工作、非公党组织建设及党外干部管理工作、侨联专项工作、光彩事业及同心工程经费、起义投诚人员生活补助、党外知识分子联谊会活动、两岸交流及海外联络联谊工作，调研培训专项工作,预算资金88万元。</w:t>
            </w:r>
          </w:p>
        </w:tc>
        <w:tc>
          <w:tcPr>
            <w:tcW w:w="3924" w:type="dxa"/>
            <w:gridSpan w:val="4"/>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sz w:val="18"/>
                <w:szCs w:val="18"/>
                <w:lang w:val="en-US" w:eastAsia="zh-CN"/>
              </w:rPr>
              <w:t>统战部专项包括：民族及宗教处置工作、“迎老乡、回故乡、建家乡”工作、非公党组织建设及党外干部管理工作、侨联专项工作、光彩事业及同心工程经费、起义投诚人员生活补助、党外知识分子联谊会活动、两岸交流及海外联络联谊工作，调研培训专项工作,实际完成9</w:t>
            </w:r>
            <w:r>
              <w:rPr>
                <w:rFonts w:hint="eastAsia" w:ascii="仿宋_GB2312" w:hAnsi="宋体" w:eastAsia="仿宋_GB2312" w:cs="宋体"/>
                <w:kern w:val="0"/>
                <w:sz w:val="18"/>
                <w:szCs w:val="18"/>
                <w:lang w:val="en-US" w:eastAsia="zh-CN"/>
              </w:rPr>
              <w:t>6.73万元。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315"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883"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sz w:val="18"/>
                <w:szCs w:val="18"/>
              </w:rPr>
              <w:t>走访慰问次数</w:t>
            </w:r>
          </w:p>
        </w:tc>
        <w:tc>
          <w:tcPr>
            <w:tcW w:w="1315"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w:t>
            </w:r>
          </w:p>
        </w:tc>
        <w:tc>
          <w:tcPr>
            <w:tcW w:w="883"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2次</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pPr>
              <w:spacing w:line="240" w:lineRule="auto"/>
              <w:jc w:val="center"/>
              <w:rPr>
                <w:rFonts w:ascii="仿宋_GB2312" w:hAnsi="宋体" w:eastAsia="仿宋_GB2312" w:cs="宋体"/>
                <w:kern w:val="0"/>
              </w:rPr>
            </w:pPr>
          </w:p>
        </w:tc>
        <w:tc>
          <w:tcPr>
            <w:tcW w:w="1218" w:type="dxa"/>
            <w:vMerge w:val="continue"/>
            <w:vAlign w:val="center"/>
          </w:tcPr>
          <w:p>
            <w:pPr>
              <w:spacing w:line="240" w:lineRule="auto"/>
              <w:jc w:val="center"/>
              <w:rPr>
                <w:rFonts w:hint="eastAsia"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走访慰问覆盖面</w:t>
            </w:r>
          </w:p>
        </w:tc>
        <w:tc>
          <w:tcPr>
            <w:tcW w:w="1315"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883"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pPr>
              <w:spacing w:line="240" w:lineRule="auto"/>
              <w:jc w:val="center"/>
              <w:rPr>
                <w:rFonts w:ascii="仿宋_GB2312" w:hAnsi="宋体" w:eastAsia="仿宋_GB2312" w:cs="宋体"/>
                <w:kern w:val="0"/>
              </w:rPr>
            </w:pPr>
          </w:p>
        </w:tc>
        <w:tc>
          <w:tcPr>
            <w:tcW w:w="1218" w:type="dxa"/>
            <w:vMerge w:val="continue"/>
            <w:vAlign w:val="center"/>
          </w:tcPr>
          <w:p>
            <w:pPr>
              <w:spacing w:line="240" w:lineRule="auto"/>
              <w:jc w:val="center"/>
              <w:rPr>
                <w:rFonts w:hint="eastAsia"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业务培训班次数</w:t>
            </w:r>
          </w:p>
        </w:tc>
        <w:tc>
          <w:tcPr>
            <w:tcW w:w="1315"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≥1次</w:t>
            </w:r>
          </w:p>
        </w:tc>
        <w:tc>
          <w:tcPr>
            <w:tcW w:w="883"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2次</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pPr>
              <w:spacing w:line="240" w:lineRule="auto"/>
              <w:jc w:val="center"/>
              <w:rPr>
                <w:rFonts w:ascii="仿宋_GB2312" w:hAnsi="宋体" w:eastAsia="仿宋_GB2312" w:cs="宋体"/>
                <w:kern w:val="0"/>
              </w:rPr>
            </w:pPr>
          </w:p>
        </w:tc>
        <w:tc>
          <w:tcPr>
            <w:tcW w:w="1218" w:type="dxa"/>
            <w:vMerge w:val="continue"/>
            <w:vAlign w:val="center"/>
          </w:tcPr>
          <w:p>
            <w:pPr>
              <w:spacing w:line="240" w:lineRule="auto"/>
              <w:jc w:val="center"/>
              <w:rPr>
                <w:rFonts w:hint="eastAsia"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市委理论学习中心组集中学习习总书记关于宗教工作的重要论述和宗教政策理论</w:t>
            </w:r>
          </w:p>
        </w:tc>
        <w:tc>
          <w:tcPr>
            <w:tcW w:w="1315"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≥2次</w:t>
            </w:r>
          </w:p>
        </w:tc>
        <w:tc>
          <w:tcPr>
            <w:tcW w:w="883"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4次</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pPr>
              <w:spacing w:line="240" w:lineRule="auto"/>
              <w:jc w:val="center"/>
              <w:rPr>
                <w:rFonts w:ascii="仿宋_GB2312" w:hAnsi="宋体" w:eastAsia="仿宋_GB2312" w:cs="宋体"/>
                <w:kern w:val="0"/>
              </w:rPr>
            </w:pPr>
          </w:p>
        </w:tc>
        <w:tc>
          <w:tcPr>
            <w:tcW w:w="1218" w:type="dxa"/>
            <w:vMerge w:val="continue"/>
            <w:vAlign w:val="center"/>
          </w:tcPr>
          <w:p>
            <w:pPr>
              <w:spacing w:line="240" w:lineRule="auto"/>
              <w:jc w:val="center"/>
              <w:rPr>
                <w:rFonts w:hint="eastAsia"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召开统战工作会议</w:t>
            </w:r>
          </w:p>
        </w:tc>
        <w:tc>
          <w:tcPr>
            <w:tcW w:w="1315"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≥1次</w:t>
            </w:r>
          </w:p>
        </w:tc>
        <w:tc>
          <w:tcPr>
            <w:tcW w:w="883"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1次</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企业家沙龙活动</w:t>
            </w:r>
          </w:p>
        </w:tc>
        <w:tc>
          <w:tcPr>
            <w:tcW w:w="1315"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≥1场次</w:t>
            </w:r>
          </w:p>
        </w:tc>
        <w:tc>
          <w:tcPr>
            <w:tcW w:w="883"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r>
              <w:rPr>
                <w:rFonts w:hint="eastAsia" w:ascii="仿宋_GB2312" w:hAnsi="宋体" w:eastAsia="仿宋_GB2312" w:cs="宋体"/>
                <w:kern w:val="0"/>
                <w:sz w:val="18"/>
                <w:szCs w:val="18"/>
              </w:rPr>
              <w:t>场次</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会议出勤率</w:t>
            </w:r>
          </w:p>
        </w:tc>
        <w:tc>
          <w:tcPr>
            <w:tcW w:w="1315"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883"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lang w:eastAsia="zh-CN"/>
              </w:rPr>
              <w:t>培训</w:t>
            </w:r>
            <w:r>
              <w:rPr>
                <w:rFonts w:hint="eastAsia" w:ascii="仿宋_GB2312" w:hAnsi="宋体" w:eastAsia="仿宋_GB2312" w:cs="宋体"/>
                <w:kern w:val="0"/>
                <w:sz w:val="18"/>
                <w:szCs w:val="18"/>
              </w:rPr>
              <w:t>出勤率</w:t>
            </w:r>
          </w:p>
        </w:tc>
        <w:tc>
          <w:tcPr>
            <w:tcW w:w="1315"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883"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走访慰问及时率</w:t>
            </w:r>
          </w:p>
        </w:tc>
        <w:tc>
          <w:tcPr>
            <w:tcW w:w="1315"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83"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按时完成各项任务</w:t>
            </w:r>
          </w:p>
        </w:tc>
        <w:tc>
          <w:tcPr>
            <w:tcW w:w="1315"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eastAsia="zh-CN"/>
              </w:rPr>
              <w:t>202</w:t>
            </w:r>
            <w:r>
              <w:rPr>
                <w:rFonts w:hint="eastAsia" w:ascii="仿宋_GB2312" w:hAnsi="宋体" w:eastAsia="仿宋_GB2312" w:cs="宋体"/>
                <w:kern w:val="0"/>
                <w:sz w:val="18"/>
                <w:szCs w:val="18"/>
                <w:lang w:val="en-US" w:eastAsia="zh-CN"/>
              </w:rPr>
              <w:t>2</w:t>
            </w:r>
            <w:r>
              <w:rPr>
                <w:rFonts w:hint="eastAsia" w:ascii="仿宋_GB2312" w:hAnsi="宋体" w:eastAsia="仿宋_GB2312" w:cs="宋体"/>
                <w:kern w:val="0"/>
                <w:sz w:val="18"/>
                <w:szCs w:val="18"/>
                <w:lang w:eastAsia="zh-CN"/>
              </w:rPr>
              <w:t>年1-12月</w:t>
            </w:r>
          </w:p>
        </w:tc>
        <w:tc>
          <w:tcPr>
            <w:tcW w:w="883" w:type="dxa"/>
            <w:vAlign w:val="center"/>
          </w:tcPr>
          <w:p>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已完成</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促进经济发展</w:t>
            </w:r>
          </w:p>
        </w:tc>
        <w:tc>
          <w:tcPr>
            <w:tcW w:w="1315" w:type="dxa"/>
            <w:vAlign w:val="center"/>
          </w:tcPr>
          <w:p>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有所提升</w:t>
            </w:r>
          </w:p>
        </w:tc>
        <w:tc>
          <w:tcPr>
            <w:tcW w:w="883"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eastAsia="zh-CN"/>
              </w:rPr>
              <w:t>有所提升</w:t>
            </w:r>
          </w:p>
        </w:tc>
        <w:tc>
          <w:tcPr>
            <w:tcW w:w="809"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pPr>
              <w:spacing w:line="240" w:lineRule="auto"/>
              <w:jc w:val="both"/>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tcBorders>
              <w:bottom w:val="single" w:color="auto" w:sz="4" w:space="0"/>
            </w:tcBorders>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不发生重大宗教群体性事件</w:t>
            </w:r>
          </w:p>
        </w:tc>
        <w:tc>
          <w:tcPr>
            <w:tcW w:w="1315"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0</w:t>
            </w:r>
          </w:p>
        </w:tc>
        <w:tc>
          <w:tcPr>
            <w:tcW w:w="883"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0</w:t>
            </w:r>
          </w:p>
        </w:tc>
        <w:tc>
          <w:tcPr>
            <w:tcW w:w="809"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bottom w:val="single" w:color="auto" w:sz="4" w:space="0"/>
            </w:tcBorders>
            <w:vAlign w:val="center"/>
          </w:tcPr>
          <w:p>
            <w:pPr>
              <w:spacing w:line="240" w:lineRule="auto"/>
              <w:ind w:firstLine="420"/>
              <w:jc w:val="center"/>
              <w:rPr>
                <w:rFonts w:ascii="仿宋_GB2312" w:hAnsi="宋体" w:eastAsia="仿宋_GB2312" w:cs="宋体"/>
                <w:kern w:val="0"/>
              </w:rPr>
            </w:pPr>
          </w:p>
        </w:tc>
        <w:tc>
          <w:tcPr>
            <w:tcW w:w="1218"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tcBorders>
              <w:top w:val="single" w:color="auto" w:sz="4" w:space="0"/>
              <w:bottom w:val="single" w:color="auto" w:sz="4" w:space="0"/>
            </w:tcBorders>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对自然生态环境造成的负面影响</w:t>
            </w:r>
          </w:p>
        </w:tc>
        <w:tc>
          <w:tcPr>
            <w:tcW w:w="1315" w:type="dxa"/>
            <w:tcBorders>
              <w:bottom w:val="single" w:color="auto" w:sz="4" w:space="0"/>
            </w:tcBorders>
            <w:vAlign w:val="center"/>
          </w:tcPr>
          <w:p>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无</w:t>
            </w:r>
          </w:p>
        </w:tc>
        <w:tc>
          <w:tcPr>
            <w:tcW w:w="883" w:type="dxa"/>
            <w:vAlign w:val="center"/>
          </w:tcPr>
          <w:p>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无负面影响</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bottom w:val="nil"/>
            </w:tcBorders>
            <w:vAlign w:val="center"/>
          </w:tcPr>
          <w:p>
            <w:pPr>
              <w:spacing w:line="240" w:lineRule="auto"/>
              <w:ind w:firstLine="420"/>
              <w:jc w:val="center"/>
              <w:rPr>
                <w:rFonts w:ascii="仿宋_GB2312" w:hAnsi="宋体" w:eastAsia="仿宋_GB2312" w:cs="宋体"/>
                <w:kern w:val="0"/>
              </w:rPr>
            </w:pPr>
          </w:p>
        </w:tc>
        <w:tc>
          <w:tcPr>
            <w:tcW w:w="1218" w:type="dxa"/>
            <w:tcBorders>
              <w:top w:val="single" w:color="auto" w:sz="4" w:space="0"/>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tcBorders>
              <w:top w:val="single" w:color="auto" w:sz="4" w:space="0"/>
            </w:tcBorders>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可持续影响</w:t>
            </w:r>
          </w:p>
        </w:tc>
        <w:tc>
          <w:tcPr>
            <w:tcW w:w="1315" w:type="dxa"/>
            <w:tcBorders>
              <w:top w:val="single" w:color="auto" w:sz="4" w:space="0"/>
            </w:tcBorders>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持续</w:t>
            </w:r>
          </w:p>
        </w:tc>
        <w:tc>
          <w:tcPr>
            <w:tcW w:w="883"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持续</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参会人员满意度</w:t>
            </w:r>
          </w:p>
        </w:tc>
        <w:tc>
          <w:tcPr>
            <w:tcW w:w="1315"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r>
              <w:rPr>
                <w:rFonts w:hint="eastAsia" w:ascii="仿宋_GB2312" w:hAnsi="宋体" w:eastAsia="仿宋_GB2312" w:cs="宋体"/>
                <w:kern w:val="0"/>
                <w:sz w:val="18"/>
                <w:szCs w:val="18"/>
                <w:lang w:val="en-US" w:eastAsia="zh-CN"/>
              </w:rPr>
              <w:t>9</w:t>
            </w:r>
            <w:r>
              <w:rPr>
                <w:rFonts w:hint="eastAsia" w:ascii="仿宋_GB2312" w:hAnsi="宋体" w:eastAsia="仿宋_GB2312" w:cs="宋体"/>
                <w:kern w:val="0"/>
                <w:sz w:val="18"/>
                <w:szCs w:val="18"/>
              </w:rPr>
              <w:t>%</w:t>
            </w:r>
          </w:p>
        </w:tc>
        <w:tc>
          <w:tcPr>
            <w:tcW w:w="883"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99%</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社会公众满意度</w:t>
            </w:r>
          </w:p>
        </w:tc>
        <w:tc>
          <w:tcPr>
            <w:tcW w:w="1315"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99%</w:t>
            </w:r>
          </w:p>
        </w:tc>
        <w:tc>
          <w:tcPr>
            <w:tcW w:w="883"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99%</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参训人员满意度</w:t>
            </w:r>
          </w:p>
        </w:tc>
        <w:tc>
          <w:tcPr>
            <w:tcW w:w="1315"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99%</w:t>
            </w:r>
          </w:p>
        </w:tc>
        <w:tc>
          <w:tcPr>
            <w:tcW w:w="883"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99%</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控制在预算内</w:t>
            </w:r>
          </w:p>
        </w:tc>
        <w:tc>
          <w:tcPr>
            <w:tcW w:w="1315"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88万元</w:t>
            </w:r>
          </w:p>
        </w:tc>
        <w:tc>
          <w:tcPr>
            <w:tcW w:w="883"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96.73</w:t>
            </w:r>
          </w:p>
        </w:tc>
        <w:tc>
          <w:tcPr>
            <w:tcW w:w="809"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对社会可能造成的负面影响 </w:t>
            </w:r>
          </w:p>
        </w:tc>
        <w:tc>
          <w:tcPr>
            <w:tcW w:w="1315" w:type="dxa"/>
            <w:vAlign w:val="center"/>
          </w:tcPr>
          <w:p>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无</w:t>
            </w:r>
          </w:p>
        </w:tc>
        <w:tc>
          <w:tcPr>
            <w:tcW w:w="883"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eastAsia="zh-CN"/>
              </w:rPr>
              <w:t>无负面影响</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对自然生态环境可能造成的负面影响</w:t>
            </w:r>
          </w:p>
        </w:tc>
        <w:tc>
          <w:tcPr>
            <w:tcW w:w="1315" w:type="dxa"/>
            <w:vAlign w:val="center"/>
          </w:tcPr>
          <w:p>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无</w:t>
            </w:r>
          </w:p>
        </w:tc>
        <w:tc>
          <w:tcPr>
            <w:tcW w:w="883"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eastAsia="zh-CN"/>
              </w:rPr>
              <w:t>无负面影响</w:t>
            </w:r>
          </w:p>
        </w:tc>
        <w:tc>
          <w:tcPr>
            <w:tcW w:w="80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849"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383" w:type="dxa"/>
            <w:vAlign w:val="center"/>
          </w:tcPr>
          <w:p>
            <w:pPr>
              <w:spacing w:line="240" w:lineRule="auto"/>
              <w:jc w:val="center"/>
              <w:rPr>
                <w:rFonts w:hint="eastAsia" w:ascii="仿宋_GB2312" w:hAnsi="宋体" w:eastAsia="仿宋_GB2312"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21"/>
          <w:szCs w:val="21"/>
          <w:lang w:val="en-US" w:eastAsia="zh-CN" w:bidi="ar-SA"/>
        </w:rPr>
      </w:pPr>
      <w:r>
        <w:rPr>
          <w:rFonts w:hint="eastAsia" w:ascii="仿宋_GB2312" w:hAnsi="宋体" w:eastAsia="仿宋_GB2312" w:cs="宋体"/>
          <w:kern w:val="0"/>
          <w:lang w:eastAsia="zh-CN"/>
        </w:rPr>
        <w:t>填表人：唐秀明</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snapToGrid w:val="0"/>
          <w:color w:val="000000"/>
          <w:sz w:val="21"/>
          <w:szCs w:val="21"/>
          <w:lang w:val="en-US" w:eastAsia="zh-CN" w:bidi="ar-SA"/>
        </w:rPr>
        <w:t>2023.6.15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5225060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r>
        <w:rPr>
          <w:rFonts w:ascii="仿宋_GB2312" w:hAnsi="宋体" w:eastAsia="仿宋_GB2312" w:cs="宋体"/>
          <w:snapToGrid w:val="0"/>
          <w:color w:val="000000"/>
          <w:sz w:val="35"/>
          <w:szCs w:val="35"/>
          <w:lang w:val="en-US" w:eastAsia="zh-CN" w:bidi="ar-SA"/>
        </w:rPr>
        <w:t xml:space="preserve"> </w:t>
      </w:r>
      <w:r>
        <w:rPr>
          <w:rFonts w:hint="eastAsia" w:ascii="仿宋_GB2312" w:hAnsi="宋体" w:eastAsia="仿宋_GB2312" w:cs="宋体"/>
          <w:snapToGrid w:val="0"/>
          <w:color w:val="000000"/>
          <w:sz w:val="21"/>
          <w:szCs w:val="21"/>
          <w:lang w:val="en-US" w:eastAsia="zh-CN" w:bidi="ar-SA"/>
        </w:rPr>
        <w:t>周琴</w:t>
      </w: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统战部</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15</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eastAsia="zh-CN"/>
        </w:rPr>
        <w:t>统战部</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pStyle w:val="9"/>
        <w:spacing w:line="600" w:lineRule="exact"/>
        <w:ind w:firstLine="562"/>
        <w:jc w:val="left"/>
        <w:rPr>
          <w:rFonts w:ascii="仿宋" w:hAnsi="仿宋" w:eastAsia="仿宋" w:cs="宋体"/>
          <w:b/>
          <w:kern w:val="0"/>
          <w:sz w:val="28"/>
          <w:szCs w:val="28"/>
        </w:rPr>
      </w:pPr>
      <w:r>
        <w:rPr>
          <w:rFonts w:hint="eastAsia" w:ascii="仿宋" w:hAnsi="仿宋" w:eastAsia="仿宋" w:cs="宋体"/>
          <w:b/>
          <w:kern w:val="0"/>
          <w:sz w:val="28"/>
          <w:szCs w:val="28"/>
        </w:rPr>
        <w:t>（一）部门职责</w:t>
      </w:r>
    </w:p>
    <w:p>
      <w:pPr>
        <w:pStyle w:val="9"/>
        <w:spacing w:line="600" w:lineRule="exact"/>
        <w:ind w:firstLine="560"/>
        <w:jc w:val="left"/>
        <w:rPr>
          <w:rFonts w:ascii="仿宋" w:hAnsi="仿宋" w:eastAsia="仿宋" w:cs="宋体"/>
          <w:kern w:val="0"/>
          <w:sz w:val="28"/>
          <w:szCs w:val="28"/>
        </w:rPr>
      </w:pPr>
      <w:r>
        <w:rPr>
          <w:rFonts w:hint="eastAsia" w:ascii="仿宋" w:hAnsi="仿宋" w:eastAsia="仿宋" w:cs="宋体"/>
          <w:kern w:val="0"/>
          <w:sz w:val="28"/>
          <w:szCs w:val="28"/>
        </w:rPr>
        <w:t>1、调查研究统一战线的理论、政策和法律法规，向党委全面反映统一战线情况，提出开展统一战线工作的意见和建议，组织协调统一战线政策和法律法规的贯彻落实，检查执行情况，协调统一战线各方面关系。</w:t>
      </w:r>
    </w:p>
    <w:p>
      <w:pPr>
        <w:pStyle w:val="9"/>
        <w:spacing w:line="600" w:lineRule="exact"/>
        <w:ind w:firstLine="560"/>
        <w:jc w:val="left"/>
        <w:rPr>
          <w:rFonts w:ascii="仿宋" w:hAnsi="仿宋" w:eastAsia="仿宋" w:cs="宋体"/>
          <w:kern w:val="0"/>
          <w:sz w:val="28"/>
          <w:szCs w:val="28"/>
        </w:rPr>
      </w:pPr>
      <w:r>
        <w:rPr>
          <w:rFonts w:hint="eastAsia" w:ascii="仿宋" w:hAnsi="仿宋" w:eastAsia="仿宋" w:cs="宋体"/>
          <w:kern w:val="0"/>
          <w:sz w:val="28"/>
          <w:szCs w:val="28"/>
        </w:rPr>
        <w:t>2、负责联系民主党派，牵头协调无党派人士工作，研究贯彻做好民主党派和无党派人士工作的方针政策，支持民主党派和无党派人士履行职责、发挥作用，支持、帮助民主党派和无党派人士加强自身建设。</w:t>
      </w:r>
    </w:p>
    <w:p>
      <w:pPr>
        <w:pStyle w:val="9"/>
        <w:spacing w:line="600" w:lineRule="exact"/>
        <w:ind w:firstLine="560"/>
        <w:jc w:val="left"/>
        <w:rPr>
          <w:rFonts w:ascii="仿宋" w:hAnsi="仿宋" w:eastAsia="仿宋" w:cs="宋体"/>
          <w:kern w:val="0"/>
          <w:sz w:val="28"/>
          <w:szCs w:val="28"/>
        </w:rPr>
      </w:pPr>
      <w:r>
        <w:rPr>
          <w:rFonts w:hint="eastAsia" w:ascii="仿宋" w:hAnsi="仿宋" w:eastAsia="仿宋" w:cs="宋体"/>
          <w:kern w:val="0"/>
          <w:sz w:val="28"/>
          <w:szCs w:val="28"/>
        </w:rPr>
        <w:t>3、调查研究党外知识分子的情况，反映意见，协调关系，提出政策建议，联系党外知识分子代表人士。</w:t>
      </w:r>
    </w:p>
    <w:p>
      <w:pPr>
        <w:pStyle w:val="9"/>
        <w:spacing w:line="600" w:lineRule="exact"/>
        <w:ind w:firstLine="560"/>
        <w:jc w:val="left"/>
        <w:rPr>
          <w:rFonts w:ascii="仿宋" w:hAnsi="仿宋" w:eastAsia="仿宋" w:cs="宋体"/>
          <w:kern w:val="0"/>
          <w:sz w:val="28"/>
          <w:szCs w:val="28"/>
        </w:rPr>
      </w:pPr>
      <w:r>
        <w:rPr>
          <w:rFonts w:hint="eastAsia" w:ascii="仿宋" w:hAnsi="仿宋" w:eastAsia="仿宋" w:cs="宋体"/>
          <w:kern w:val="0"/>
          <w:sz w:val="28"/>
          <w:szCs w:val="28"/>
        </w:rPr>
        <w:t>4、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w:t>
      </w:r>
    </w:p>
    <w:p>
      <w:pPr>
        <w:pStyle w:val="9"/>
        <w:spacing w:line="600" w:lineRule="exact"/>
        <w:ind w:firstLine="560"/>
        <w:jc w:val="left"/>
        <w:rPr>
          <w:rFonts w:ascii="仿宋" w:hAnsi="仿宋" w:eastAsia="仿宋" w:cs="宋体"/>
          <w:kern w:val="0"/>
          <w:sz w:val="28"/>
          <w:szCs w:val="28"/>
        </w:rPr>
      </w:pPr>
      <w:r>
        <w:rPr>
          <w:rFonts w:hint="eastAsia" w:ascii="仿宋" w:hAnsi="仿宋" w:eastAsia="仿宋" w:cs="宋体"/>
          <w:kern w:val="0"/>
          <w:sz w:val="28"/>
          <w:szCs w:val="28"/>
        </w:rPr>
        <w:t>5、调查研究非公有制经济人士的情况，协调关系，提出政策建议，团结、服务、引导、教育非公有制经济人士，开展思想政治工作。</w:t>
      </w:r>
    </w:p>
    <w:p>
      <w:pPr>
        <w:pStyle w:val="9"/>
        <w:spacing w:line="600" w:lineRule="exact"/>
        <w:ind w:firstLine="560"/>
        <w:jc w:val="left"/>
        <w:rPr>
          <w:rFonts w:ascii="仿宋" w:hAnsi="仿宋" w:eastAsia="仿宋" w:cs="宋体"/>
          <w:kern w:val="0"/>
          <w:sz w:val="28"/>
          <w:szCs w:val="28"/>
        </w:rPr>
      </w:pPr>
      <w:r>
        <w:rPr>
          <w:rFonts w:hint="eastAsia" w:ascii="仿宋" w:hAnsi="仿宋" w:eastAsia="仿宋" w:cs="宋体"/>
          <w:kern w:val="0"/>
          <w:sz w:val="28"/>
          <w:szCs w:val="28"/>
        </w:rPr>
        <w:t>6、开展港澳台海外统一战线工作，联系香港、澳门、台湾和海外有关党派、团体及代表人士，会同有关部门对香港、澳门地区统一战线工作方针政策和法律法规进行调查研究，做好台胞、台属有关工作。</w:t>
      </w:r>
    </w:p>
    <w:p>
      <w:pPr>
        <w:pStyle w:val="9"/>
        <w:spacing w:line="600" w:lineRule="exact"/>
        <w:ind w:firstLine="560"/>
        <w:jc w:val="left"/>
        <w:rPr>
          <w:rFonts w:ascii="仿宋" w:hAnsi="仿宋" w:eastAsia="仿宋" w:cs="宋体"/>
          <w:kern w:val="0"/>
          <w:sz w:val="28"/>
          <w:szCs w:val="28"/>
        </w:rPr>
      </w:pPr>
      <w:r>
        <w:rPr>
          <w:rFonts w:hint="eastAsia" w:ascii="仿宋" w:hAnsi="仿宋" w:eastAsia="仿宋" w:cs="宋体"/>
          <w:kern w:val="0"/>
          <w:sz w:val="28"/>
          <w:szCs w:val="28"/>
        </w:rPr>
        <w:t>7、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w:t>
      </w:r>
    </w:p>
    <w:p>
      <w:pPr>
        <w:pStyle w:val="9"/>
        <w:spacing w:line="600" w:lineRule="exact"/>
        <w:ind w:firstLine="560"/>
        <w:jc w:val="left"/>
        <w:rPr>
          <w:rFonts w:ascii="仿宋" w:hAnsi="仿宋" w:eastAsia="仿宋" w:cs="宋体"/>
          <w:kern w:val="0"/>
          <w:sz w:val="28"/>
          <w:szCs w:val="28"/>
        </w:rPr>
      </w:pPr>
      <w:r>
        <w:rPr>
          <w:rFonts w:hint="eastAsia" w:ascii="仿宋" w:hAnsi="仿宋" w:eastAsia="仿宋" w:cs="宋体"/>
          <w:kern w:val="0"/>
          <w:sz w:val="28"/>
          <w:szCs w:val="28"/>
        </w:rPr>
        <w:t>8、指导下级党委统一战线工作，协助管理下级党委统战部部长，负责下级统战部负责人培训工作；协调政府有关部门统一战线工作，协助做好民族、宗教等工作部门领导班子成员推荐工作；领导统战部党组，指导统战部工作；做好有关统战团体管理工作。</w:t>
      </w:r>
    </w:p>
    <w:p>
      <w:pPr>
        <w:pStyle w:val="9"/>
        <w:spacing w:line="600" w:lineRule="exact"/>
        <w:ind w:firstLine="560"/>
        <w:jc w:val="left"/>
        <w:rPr>
          <w:rFonts w:ascii="仿宋" w:hAnsi="仿宋" w:eastAsia="仿宋" w:cs="宋体"/>
          <w:kern w:val="0"/>
          <w:sz w:val="28"/>
          <w:szCs w:val="28"/>
        </w:rPr>
      </w:pPr>
      <w:r>
        <w:rPr>
          <w:rFonts w:hint="eastAsia" w:ascii="仿宋" w:hAnsi="仿宋" w:eastAsia="仿宋" w:cs="宋体"/>
          <w:kern w:val="0"/>
          <w:sz w:val="28"/>
          <w:szCs w:val="28"/>
        </w:rPr>
        <w:t>9、负责开展统一战线宣传工作。</w:t>
      </w:r>
    </w:p>
    <w:p>
      <w:pPr>
        <w:pStyle w:val="9"/>
        <w:spacing w:line="600" w:lineRule="exact"/>
        <w:ind w:firstLine="560"/>
        <w:jc w:val="left"/>
        <w:rPr>
          <w:rFonts w:ascii="仿宋" w:hAnsi="仿宋" w:eastAsia="仿宋" w:cs="宋体"/>
          <w:kern w:val="0"/>
          <w:sz w:val="28"/>
          <w:szCs w:val="28"/>
        </w:rPr>
      </w:pPr>
      <w:r>
        <w:rPr>
          <w:rFonts w:hint="eastAsia" w:ascii="仿宋" w:hAnsi="仿宋" w:eastAsia="仿宋" w:cs="宋体"/>
          <w:kern w:val="0"/>
          <w:sz w:val="28"/>
          <w:szCs w:val="28"/>
        </w:rPr>
        <w:t>10、完成市委和上级党委交办的其他任务。</w:t>
      </w:r>
    </w:p>
    <w:p>
      <w:pPr>
        <w:pStyle w:val="9"/>
        <w:spacing w:line="600" w:lineRule="exact"/>
        <w:ind w:firstLine="562"/>
        <w:jc w:val="left"/>
        <w:rPr>
          <w:rFonts w:ascii="仿宋" w:hAnsi="仿宋" w:eastAsia="仿宋" w:cs="宋体"/>
          <w:kern w:val="0"/>
          <w:sz w:val="28"/>
          <w:szCs w:val="28"/>
        </w:rPr>
      </w:pPr>
      <w:r>
        <w:rPr>
          <w:rFonts w:hint="eastAsia" w:ascii="仿宋" w:hAnsi="仿宋" w:eastAsia="仿宋" w:cs="宋体"/>
          <w:b/>
          <w:kern w:val="0"/>
          <w:sz w:val="28"/>
          <w:szCs w:val="28"/>
        </w:rPr>
        <w:t>（二）机构设置情况</w:t>
      </w:r>
    </w:p>
    <w:p>
      <w:pPr>
        <w:pStyle w:val="9"/>
        <w:spacing w:line="600" w:lineRule="exact"/>
        <w:ind w:firstLine="560"/>
        <w:jc w:val="left"/>
        <w:rPr>
          <w:rFonts w:hint="default" w:ascii="方正黑体_GBK" w:hAnsi="仿宋" w:eastAsia="方正黑体_GBK" w:cs="仿宋"/>
          <w:snapToGrid w:val="0"/>
          <w:color w:val="000000"/>
          <w:sz w:val="28"/>
          <w:szCs w:val="28"/>
          <w:lang w:val="en-US" w:eastAsia="zh-CN" w:bidi="ar-SA"/>
        </w:rPr>
      </w:pPr>
      <w:r>
        <w:rPr>
          <w:rFonts w:hint="eastAsia" w:ascii="仿宋" w:hAnsi="仿宋" w:eastAsia="仿宋" w:cs="宋体"/>
          <w:kern w:val="0"/>
          <w:sz w:val="28"/>
          <w:szCs w:val="28"/>
        </w:rPr>
        <w:t>本单位为财政全额拨款单位，根据市委编办的批复,统战部单位内设机构包括：办公室（研究室）、党外干部办、民族宗教事务办、非公有制经济联络办、党外知识分子和新的社会阶层人士统战工作办、侨务工作办及行政执法办。</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仿宋" w:hAnsi="仿宋" w:eastAsia="仿宋" w:cs="仿宋"/>
          <w:kern w:val="0"/>
          <w:sz w:val="28"/>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年汨罗市委统战部整体支出</w:t>
      </w:r>
      <w:r>
        <w:rPr>
          <w:rFonts w:hint="eastAsia" w:ascii="仿宋" w:hAnsi="仿宋" w:eastAsia="仿宋" w:cs="仿宋"/>
          <w:kern w:val="0"/>
          <w:sz w:val="28"/>
          <w:szCs w:val="28"/>
          <w:lang w:val="en-US" w:eastAsia="zh-CN"/>
        </w:rPr>
        <w:t>384.22</w:t>
      </w:r>
      <w:r>
        <w:rPr>
          <w:rFonts w:hint="eastAsia" w:ascii="仿宋" w:hAnsi="仿宋" w:eastAsia="仿宋" w:cs="仿宋"/>
          <w:kern w:val="0"/>
          <w:sz w:val="28"/>
          <w:szCs w:val="28"/>
        </w:rPr>
        <w:t>万元。其中基本支出</w:t>
      </w:r>
      <w:r>
        <w:rPr>
          <w:rFonts w:hint="eastAsia" w:ascii="仿宋" w:hAnsi="仿宋" w:eastAsia="仿宋" w:cs="仿宋"/>
          <w:sz w:val="28"/>
          <w:szCs w:val="28"/>
          <w:lang w:val="en-US" w:eastAsia="zh-CN"/>
        </w:rPr>
        <w:t>287.49</w:t>
      </w:r>
      <w:r>
        <w:rPr>
          <w:rFonts w:hint="eastAsia" w:ascii="仿宋" w:hAnsi="仿宋" w:eastAsia="仿宋" w:cs="仿宋"/>
          <w:kern w:val="0"/>
          <w:sz w:val="28"/>
          <w:szCs w:val="28"/>
        </w:rPr>
        <w:t>万元，项目支出</w:t>
      </w:r>
      <w:r>
        <w:rPr>
          <w:rFonts w:hint="eastAsia" w:ascii="仿宋" w:hAnsi="仿宋" w:eastAsia="仿宋" w:cs="仿宋"/>
          <w:sz w:val="28"/>
          <w:szCs w:val="28"/>
          <w:lang w:val="en-US" w:eastAsia="zh-CN"/>
        </w:rPr>
        <w:t>96.73</w:t>
      </w:r>
      <w:r>
        <w:rPr>
          <w:rFonts w:hint="eastAsia" w:ascii="仿宋" w:hAnsi="仿宋" w:eastAsia="仿宋" w:cs="仿宋"/>
          <w:kern w:val="0"/>
          <w:sz w:val="28"/>
          <w:szCs w:val="28"/>
        </w:rPr>
        <w:t>万元。</w:t>
      </w:r>
    </w:p>
    <w:p>
      <w:pPr>
        <w:pStyle w:val="9"/>
        <w:spacing w:line="600" w:lineRule="exact"/>
        <w:ind w:firstLine="643"/>
        <w:jc w:val="both"/>
        <w:rPr>
          <w:rFonts w:hint="eastAsia" w:ascii="宋体" w:hAnsi="宋体" w:eastAsia="宋体" w:cs="宋体"/>
          <w:sz w:val="30"/>
          <w:szCs w:val="30"/>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宋体"/>
          <w:snapToGrid w:val="0"/>
          <w:color w:val="000000"/>
          <w:kern w:val="0"/>
          <w:sz w:val="28"/>
          <w:szCs w:val="28"/>
          <w:lang w:val="en-US" w:eastAsia="en-US" w:bidi="ar-SA"/>
        </w:rPr>
      </w:pPr>
      <w:r>
        <w:rPr>
          <w:rFonts w:hint="eastAsia" w:ascii="仿宋" w:hAnsi="仿宋" w:eastAsia="仿宋" w:cs="宋体"/>
          <w:snapToGrid w:val="0"/>
          <w:color w:val="000000"/>
          <w:kern w:val="0"/>
          <w:sz w:val="28"/>
          <w:szCs w:val="28"/>
          <w:lang w:val="en-US" w:eastAsia="en-US" w:bidi="ar-SA"/>
        </w:rPr>
        <w:t xml:space="preserve"> 基本支出</w:t>
      </w:r>
      <w:r>
        <w:rPr>
          <w:rFonts w:hint="eastAsia" w:ascii="仿宋" w:hAnsi="仿宋" w:eastAsia="仿宋" w:cs="宋体"/>
          <w:snapToGrid w:val="0"/>
          <w:color w:val="000000"/>
          <w:kern w:val="0"/>
          <w:sz w:val="28"/>
          <w:szCs w:val="28"/>
          <w:lang w:val="en-US" w:eastAsia="zh-CN" w:bidi="ar-SA"/>
        </w:rPr>
        <w:t>287.49</w:t>
      </w:r>
      <w:r>
        <w:rPr>
          <w:rFonts w:hint="eastAsia" w:ascii="仿宋" w:hAnsi="仿宋" w:eastAsia="仿宋" w:cs="宋体"/>
          <w:snapToGrid w:val="0"/>
          <w:color w:val="000000"/>
          <w:kern w:val="0"/>
          <w:sz w:val="28"/>
          <w:szCs w:val="28"/>
          <w:lang w:val="en-US" w:eastAsia="en-US" w:bidi="ar-SA"/>
        </w:rPr>
        <w:t>万元，其中：人员经费</w:t>
      </w:r>
      <w:r>
        <w:rPr>
          <w:rFonts w:hint="eastAsia" w:ascii="仿宋" w:hAnsi="仿宋" w:eastAsia="仿宋" w:cs="宋体"/>
          <w:snapToGrid w:val="0"/>
          <w:color w:val="000000"/>
          <w:kern w:val="0"/>
          <w:sz w:val="28"/>
          <w:szCs w:val="28"/>
          <w:lang w:val="en-US" w:eastAsia="zh-CN" w:bidi="ar-SA"/>
        </w:rPr>
        <w:t>240.8</w:t>
      </w:r>
      <w:r>
        <w:rPr>
          <w:rFonts w:hint="eastAsia" w:ascii="仿宋" w:hAnsi="仿宋" w:eastAsia="仿宋" w:cs="宋体"/>
          <w:snapToGrid w:val="0"/>
          <w:color w:val="000000"/>
          <w:kern w:val="0"/>
          <w:sz w:val="28"/>
          <w:szCs w:val="28"/>
          <w:lang w:val="en-US" w:eastAsia="en-US" w:bidi="ar-SA"/>
        </w:rPr>
        <w:t>万元，主要用于人员工资及社保公积金缴纳等；日常公用经费</w:t>
      </w:r>
      <w:r>
        <w:rPr>
          <w:rFonts w:hint="eastAsia" w:ascii="仿宋" w:hAnsi="仿宋" w:eastAsia="仿宋" w:cs="宋体"/>
          <w:snapToGrid w:val="0"/>
          <w:color w:val="000000"/>
          <w:kern w:val="0"/>
          <w:sz w:val="28"/>
          <w:szCs w:val="28"/>
          <w:lang w:val="en-US" w:eastAsia="zh-CN" w:bidi="ar-SA"/>
        </w:rPr>
        <w:t>46.69</w:t>
      </w:r>
      <w:r>
        <w:rPr>
          <w:rFonts w:hint="eastAsia" w:ascii="仿宋" w:hAnsi="仿宋" w:eastAsia="仿宋" w:cs="宋体"/>
          <w:snapToGrid w:val="0"/>
          <w:color w:val="000000"/>
          <w:kern w:val="0"/>
          <w:sz w:val="28"/>
          <w:szCs w:val="28"/>
          <w:lang w:val="en-US" w:eastAsia="en-US" w:bidi="ar-SA"/>
        </w:rPr>
        <w:t>万元，主要用于日常办公开支。202</w:t>
      </w:r>
      <w:r>
        <w:rPr>
          <w:rFonts w:hint="eastAsia" w:ascii="仿宋" w:hAnsi="仿宋" w:eastAsia="仿宋" w:cs="宋体"/>
          <w:snapToGrid w:val="0"/>
          <w:color w:val="000000"/>
          <w:kern w:val="0"/>
          <w:sz w:val="28"/>
          <w:szCs w:val="28"/>
          <w:lang w:val="en-US" w:eastAsia="zh-CN" w:bidi="ar-SA"/>
        </w:rPr>
        <w:t>2</w:t>
      </w:r>
      <w:r>
        <w:rPr>
          <w:rFonts w:hint="eastAsia" w:ascii="仿宋" w:hAnsi="仿宋" w:eastAsia="仿宋" w:cs="宋体"/>
          <w:snapToGrid w:val="0"/>
          <w:color w:val="000000"/>
          <w:kern w:val="0"/>
          <w:sz w:val="28"/>
          <w:szCs w:val="28"/>
          <w:lang w:val="en-US" w:eastAsia="en-US" w:bidi="ar-SA"/>
        </w:rPr>
        <w:t>年统战部一般公共预算财政拨款“三公”经费支出年初预算为</w:t>
      </w:r>
      <w:r>
        <w:rPr>
          <w:rFonts w:hint="eastAsia" w:ascii="仿宋" w:hAnsi="仿宋" w:eastAsia="仿宋" w:cs="宋体"/>
          <w:snapToGrid w:val="0"/>
          <w:color w:val="000000"/>
          <w:kern w:val="0"/>
          <w:sz w:val="28"/>
          <w:szCs w:val="28"/>
          <w:lang w:val="en-US" w:eastAsia="zh-CN" w:bidi="ar-SA"/>
        </w:rPr>
        <w:t>10.7</w:t>
      </w:r>
      <w:r>
        <w:rPr>
          <w:rFonts w:hint="eastAsia" w:ascii="仿宋" w:hAnsi="仿宋" w:eastAsia="仿宋" w:cs="宋体"/>
          <w:snapToGrid w:val="0"/>
          <w:color w:val="000000"/>
          <w:kern w:val="0"/>
          <w:sz w:val="28"/>
          <w:szCs w:val="28"/>
          <w:lang w:val="en-US" w:eastAsia="en-US" w:bidi="ar-SA"/>
        </w:rPr>
        <w:t>万元，决算支出为4.</w:t>
      </w:r>
      <w:r>
        <w:rPr>
          <w:rFonts w:hint="eastAsia" w:ascii="仿宋" w:hAnsi="仿宋" w:eastAsia="仿宋" w:cs="宋体"/>
          <w:snapToGrid w:val="0"/>
          <w:color w:val="000000"/>
          <w:kern w:val="0"/>
          <w:sz w:val="28"/>
          <w:szCs w:val="28"/>
          <w:lang w:val="en-US" w:eastAsia="zh-CN" w:bidi="ar-SA"/>
        </w:rPr>
        <w:t>08</w:t>
      </w:r>
      <w:r>
        <w:rPr>
          <w:rFonts w:hint="eastAsia" w:ascii="仿宋" w:hAnsi="仿宋" w:eastAsia="仿宋" w:cs="宋体"/>
          <w:snapToGrid w:val="0"/>
          <w:color w:val="000000"/>
          <w:kern w:val="0"/>
          <w:sz w:val="28"/>
          <w:szCs w:val="28"/>
          <w:lang w:val="en-US" w:eastAsia="en-US" w:bidi="ar-SA"/>
        </w:rPr>
        <w:t>万元。其中：公务接待费4.</w:t>
      </w:r>
      <w:r>
        <w:rPr>
          <w:rFonts w:hint="eastAsia" w:ascii="仿宋" w:hAnsi="仿宋" w:eastAsia="仿宋" w:cs="宋体"/>
          <w:snapToGrid w:val="0"/>
          <w:color w:val="000000"/>
          <w:kern w:val="0"/>
          <w:sz w:val="28"/>
          <w:szCs w:val="28"/>
          <w:lang w:val="en-US" w:eastAsia="zh-CN" w:bidi="ar-SA"/>
        </w:rPr>
        <w:t>08</w:t>
      </w:r>
      <w:r>
        <w:rPr>
          <w:rFonts w:hint="eastAsia" w:ascii="仿宋" w:hAnsi="仿宋" w:eastAsia="仿宋" w:cs="宋体"/>
          <w:snapToGrid w:val="0"/>
          <w:color w:val="000000"/>
          <w:kern w:val="0"/>
          <w:sz w:val="28"/>
          <w:szCs w:val="28"/>
          <w:lang w:val="en-US" w:eastAsia="en-US" w:bidi="ar-SA"/>
        </w:rPr>
        <w:t>万元，未购置公务用车，无公务用车运行及维护费，无因公出国（境）费支出及团组数和人数。公务接待</w:t>
      </w:r>
      <w:r>
        <w:rPr>
          <w:rFonts w:hint="eastAsia" w:ascii="仿宋" w:hAnsi="仿宋" w:eastAsia="仿宋" w:cs="宋体"/>
          <w:snapToGrid w:val="0"/>
          <w:color w:val="000000"/>
          <w:kern w:val="0"/>
          <w:sz w:val="28"/>
          <w:szCs w:val="28"/>
          <w:lang w:val="en-US" w:eastAsia="zh-CN" w:bidi="ar-SA"/>
        </w:rPr>
        <w:t>53</w:t>
      </w:r>
      <w:r>
        <w:rPr>
          <w:rFonts w:hint="eastAsia" w:ascii="仿宋" w:hAnsi="仿宋" w:eastAsia="仿宋" w:cs="宋体"/>
          <w:snapToGrid w:val="0"/>
          <w:color w:val="000000"/>
          <w:kern w:val="0"/>
          <w:sz w:val="28"/>
          <w:szCs w:val="28"/>
          <w:lang w:val="en-US" w:eastAsia="en-US" w:bidi="ar-SA"/>
        </w:rPr>
        <w:t>批次48</w:t>
      </w:r>
      <w:r>
        <w:rPr>
          <w:rFonts w:hint="eastAsia" w:ascii="仿宋" w:hAnsi="仿宋" w:eastAsia="仿宋" w:cs="宋体"/>
          <w:snapToGrid w:val="0"/>
          <w:color w:val="000000"/>
          <w:kern w:val="0"/>
          <w:sz w:val="28"/>
          <w:szCs w:val="28"/>
          <w:lang w:val="en-US" w:eastAsia="zh-CN" w:bidi="ar-SA"/>
        </w:rPr>
        <w:t>0</w:t>
      </w:r>
      <w:r>
        <w:rPr>
          <w:rFonts w:hint="eastAsia" w:ascii="仿宋" w:hAnsi="仿宋" w:eastAsia="仿宋" w:cs="宋体"/>
          <w:snapToGrid w:val="0"/>
          <w:color w:val="000000"/>
          <w:kern w:val="0"/>
          <w:sz w:val="28"/>
          <w:szCs w:val="28"/>
          <w:lang w:val="en-US" w:eastAsia="en-US" w:bidi="ar-SA"/>
        </w:rPr>
        <w:t>人次。</w:t>
      </w:r>
    </w:p>
    <w:p>
      <w:pPr>
        <w:pStyle w:val="9"/>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pStyle w:val="9"/>
        <w:numPr>
          <w:ilvl w:val="0"/>
          <w:numId w:val="0"/>
        </w:numPr>
        <w:spacing w:line="600" w:lineRule="exact"/>
        <w:jc w:val="both"/>
        <w:rPr>
          <w:rFonts w:hint="default" w:ascii="Times New Roman" w:hAnsi="Times New Roman" w:eastAsia="仿宋_GB2312"/>
          <w:kern w:val="0"/>
          <w:sz w:val="28"/>
          <w:szCs w:val="28"/>
          <w:lang w:val="en-US" w:eastAsia="zh-CN"/>
        </w:rPr>
      </w:pP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28"/>
          <w:szCs w:val="28"/>
          <w:lang w:val="en-US" w:eastAsia="zh-CN"/>
        </w:rPr>
        <w:t xml:space="preserve">  </w:t>
      </w:r>
      <w:r>
        <w:rPr>
          <w:rFonts w:hint="eastAsia" w:ascii="仿宋" w:hAnsi="仿宋" w:eastAsia="仿宋" w:cs="宋体"/>
          <w:b/>
          <w:kern w:val="0"/>
          <w:sz w:val="28"/>
          <w:szCs w:val="28"/>
        </w:rPr>
        <w:t>1、专项资金安排落实、总投入等情况分析</w:t>
      </w:r>
    </w:p>
    <w:p>
      <w:pPr>
        <w:pStyle w:val="9"/>
        <w:numPr>
          <w:ilvl w:val="0"/>
          <w:numId w:val="0"/>
        </w:numPr>
        <w:spacing w:line="600" w:lineRule="exact"/>
        <w:jc w:val="both"/>
        <w:rPr>
          <w:rFonts w:hint="eastAsia" w:ascii="仿宋" w:hAnsi="仿宋" w:eastAsia="仿宋" w:cs="宋体"/>
          <w:kern w:val="0"/>
          <w:sz w:val="28"/>
          <w:szCs w:val="28"/>
        </w:rPr>
      </w:pPr>
      <w:r>
        <w:rPr>
          <w:rFonts w:hint="eastAsia" w:ascii="Times New Roman" w:hAnsi="Times New Roman" w:eastAsia="仿宋_GB2312"/>
          <w:kern w:val="0"/>
          <w:sz w:val="28"/>
          <w:szCs w:val="28"/>
          <w:lang w:val="en-US" w:eastAsia="zh-CN"/>
        </w:rPr>
        <w:t xml:space="preserve">        </w:t>
      </w:r>
      <w:r>
        <w:rPr>
          <w:rFonts w:hint="eastAsia" w:ascii="仿宋" w:hAnsi="仿宋" w:eastAsia="仿宋" w:cs="宋体"/>
          <w:kern w:val="0"/>
          <w:sz w:val="28"/>
          <w:szCs w:val="28"/>
        </w:rPr>
        <w:t xml:space="preserve"> 202</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年项目支出年初预算数为</w:t>
      </w:r>
      <w:r>
        <w:rPr>
          <w:rFonts w:hint="eastAsia" w:ascii="仿宋" w:hAnsi="仿宋" w:eastAsia="仿宋" w:cs="宋体"/>
          <w:kern w:val="0"/>
          <w:sz w:val="28"/>
          <w:szCs w:val="28"/>
          <w:lang w:val="en-US" w:eastAsia="zh-CN"/>
        </w:rPr>
        <w:t>88</w:t>
      </w:r>
      <w:r>
        <w:rPr>
          <w:rFonts w:hint="eastAsia" w:ascii="仿宋" w:hAnsi="仿宋" w:eastAsia="仿宋" w:cs="宋体"/>
          <w:kern w:val="0"/>
          <w:sz w:val="28"/>
          <w:szCs w:val="28"/>
        </w:rPr>
        <w:t>万元，已全额拨付到位。实际项目支出为</w:t>
      </w:r>
      <w:r>
        <w:rPr>
          <w:rFonts w:hint="eastAsia" w:ascii="仿宋" w:hAnsi="仿宋" w:eastAsia="仿宋" w:cs="宋体"/>
          <w:kern w:val="0"/>
          <w:sz w:val="28"/>
          <w:szCs w:val="28"/>
          <w:lang w:val="en-US" w:eastAsia="zh-CN"/>
        </w:rPr>
        <w:t>96.73</w:t>
      </w:r>
      <w:r>
        <w:rPr>
          <w:rFonts w:hint="eastAsia" w:ascii="仿宋" w:hAnsi="仿宋" w:eastAsia="仿宋" w:cs="宋体"/>
          <w:kern w:val="0"/>
          <w:sz w:val="28"/>
          <w:szCs w:val="28"/>
        </w:rPr>
        <w:t>万元，是指单位为完成特定行政工作任务或事业发展目标而发生的支出。其中：民族及宗教处置工作经费52.19万元、“迎老乡、回故乡、建家乡”工作经费9.35万元、非公党组织建设及党外干部管理2.89万元、侨联工作专项1.68万元、光彩事业及同心工程经费10.2万元、起义投诚人员生活补助0.28万元、党外知识分子联谊会活动经费14.42万元、两岸交流及海外联络联谊工作经费1.57万元，调研培训专项工作经费4.15万元。追加的主要原因是年初专项预算不足，业务量增大，成本增加，年中追加专项资金。</w:t>
      </w:r>
    </w:p>
    <w:p>
      <w:pPr>
        <w:pStyle w:val="9"/>
        <w:numPr>
          <w:ilvl w:val="0"/>
          <w:numId w:val="3"/>
        </w:numPr>
        <w:spacing w:line="600" w:lineRule="exact"/>
        <w:ind w:left="700" w:leftChars="0" w:firstLine="0" w:firstLineChars="0"/>
        <w:jc w:val="both"/>
        <w:rPr>
          <w:rFonts w:hint="default" w:ascii="仿宋" w:hAnsi="仿宋" w:eastAsia="仿宋" w:cs="宋体"/>
          <w:kern w:val="0"/>
          <w:sz w:val="28"/>
          <w:szCs w:val="28"/>
          <w:lang w:val="en-US" w:eastAsia="zh-CN"/>
        </w:rPr>
      </w:pPr>
      <w:r>
        <w:rPr>
          <w:rFonts w:hint="eastAsia" w:ascii="仿宋" w:hAnsi="仿宋" w:eastAsia="仿宋" w:cs="宋体"/>
          <w:b/>
          <w:kern w:val="0"/>
          <w:sz w:val="28"/>
          <w:szCs w:val="28"/>
        </w:rPr>
        <w:t>专项资金实际使用情况分析</w:t>
      </w:r>
      <w:r>
        <w:rPr>
          <w:rFonts w:hint="eastAsia" w:ascii="仿宋" w:hAnsi="仿宋" w:eastAsia="仿宋" w:cs="宋体"/>
          <w:b/>
          <w:kern w:val="0"/>
          <w:sz w:val="28"/>
          <w:szCs w:val="28"/>
        </w:rPr>
        <w:br w:type="textWrapping"/>
      </w: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年专项资金支出为</w:t>
      </w:r>
      <w:r>
        <w:rPr>
          <w:rFonts w:hint="eastAsia" w:ascii="仿宋" w:hAnsi="仿宋" w:eastAsia="仿宋" w:cs="宋体"/>
          <w:kern w:val="0"/>
          <w:sz w:val="28"/>
          <w:szCs w:val="28"/>
          <w:lang w:val="en-US" w:eastAsia="zh-CN"/>
        </w:rPr>
        <w:t>96.73</w:t>
      </w:r>
      <w:r>
        <w:rPr>
          <w:rFonts w:hint="eastAsia" w:ascii="仿宋" w:hAnsi="仿宋" w:eastAsia="仿宋" w:cs="宋体"/>
          <w:kern w:val="0"/>
          <w:sz w:val="28"/>
          <w:szCs w:val="28"/>
        </w:rPr>
        <w:t>万元，其中预算项目支出为</w:t>
      </w:r>
      <w:r>
        <w:rPr>
          <w:rFonts w:hint="eastAsia" w:ascii="仿宋" w:hAnsi="仿宋" w:eastAsia="仿宋" w:cs="宋体"/>
          <w:kern w:val="0"/>
          <w:sz w:val="28"/>
          <w:szCs w:val="28"/>
          <w:lang w:val="en-US" w:eastAsia="zh-CN"/>
        </w:rPr>
        <w:t>96.73</w:t>
      </w:r>
    </w:p>
    <w:p>
      <w:pPr>
        <w:pStyle w:val="9"/>
        <w:numPr>
          <w:ilvl w:val="0"/>
          <w:numId w:val="0"/>
        </w:numPr>
        <w:spacing w:line="600" w:lineRule="exact"/>
        <w:jc w:val="both"/>
        <w:rPr>
          <w:rFonts w:hint="eastAsia" w:ascii="仿宋" w:hAnsi="仿宋" w:eastAsia="仿宋" w:cs="宋体"/>
          <w:kern w:val="0"/>
          <w:sz w:val="28"/>
          <w:szCs w:val="28"/>
        </w:rPr>
      </w:pPr>
      <w:r>
        <w:rPr>
          <w:rFonts w:hint="eastAsia" w:ascii="仿宋" w:hAnsi="仿宋" w:eastAsia="仿宋" w:cs="宋体"/>
          <w:kern w:val="0"/>
          <w:sz w:val="28"/>
          <w:szCs w:val="28"/>
        </w:rPr>
        <w:t>万元，主要用于民族及宗教处置工作经费52.19万元、“迎老乡、回故乡、建家乡”工作经费9.35万元、非公党组织建设及党外干部管理2.89万元、侨联工作专项1.68万元、光彩事业及同心工程经费10.2万元、起义投诚人员生活补助0.28万元、党外知识分子联谊会活动经费14.42万元、两岸交流及海外联络联谊工作经费1.57万元，调研培训专项工作经费4.15万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w:t>
      </w:r>
      <w:r>
        <w:rPr>
          <w:rFonts w:hint="eastAsia" w:ascii="仿宋" w:hAnsi="仿宋" w:eastAsia="仿宋" w:cs="宋体"/>
          <w:b/>
          <w:kern w:val="0"/>
          <w:sz w:val="28"/>
          <w:szCs w:val="28"/>
        </w:rPr>
        <w:t>3、专项资金管理情况分析</w:t>
      </w:r>
      <w:r>
        <w:rPr>
          <w:rFonts w:hint="eastAsia" w:ascii="仿宋" w:hAnsi="仿宋" w:eastAsia="仿宋" w:cs="宋体"/>
          <w:b/>
          <w:kern w:val="0"/>
          <w:sz w:val="28"/>
          <w:szCs w:val="28"/>
        </w:rPr>
        <w:br w:type="textWrapping"/>
      </w:r>
      <w:r>
        <w:rPr>
          <w:rFonts w:hint="eastAsia" w:ascii="仿宋" w:hAnsi="仿宋" w:eastAsia="仿宋" w:cs="宋体"/>
          <w:kern w:val="0"/>
          <w:sz w:val="28"/>
          <w:szCs w:val="28"/>
        </w:rPr>
        <w:t xml:space="preserve">    各项目的开展主要根据市委市政府及统战部的安排，绩效总目标已按计划完成。严格执行财政财纪有关法律法规的同时，财务管理严格按照《行政事业单位内部控制规范》及政府采购、国库集中支付等有关规范执行。</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ascii="仿宋" w:hAnsi="仿宋" w:eastAsia="仿宋" w:cs="宋体"/>
          <w:kern w:val="0"/>
          <w:sz w:val="28"/>
          <w:szCs w:val="28"/>
        </w:rPr>
      </w:pPr>
      <w:r>
        <w:rPr>
          <w:rFonts w:hint="eastAsia" w:ascii="方正黑体_GBK" w:eastAsia="方正黑体_GBK"/>
          <w:kern w:val="0"/>
          <w:sz w:val="32"/>
          <w:szCs w:val="32"/>
          <w:lang w:eastAsia="zh-CN"/>
        </w:rPr>
        <w:t>三、政府性基金预算支出情况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0" w:firstLineChars="200"/>
        <w:textAlignment w:val="baseline"/>
        <w:rPr>
          <w:rFonts w:hint="eastAsia" w:ascii="方正黑体_GBK" w:eastAsia="方正黑体_GBK"/>
          <w:kern w:val="0"/>
          <w:sz w:val="32"/>
          <w:szCs w:val="32"/>
          <w:lang w:eastAsia="zh-CN"/>
        </w:rPr>
      </w:pP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年度汨罗市委统战部没有政府性基金预算支出。</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keepNext w:val="0"/>
        <w:keepLines w:val="0"/>
        <w:pageBreakBefore w:val="0"/>
        <w:widowControl/>
        <w:kinsoku w:val="0"/>
        <w:wordWrap/>
        <w:overflowPunct/>
        <w:topLinePunct w:val="0"/>
        <w:autoSpaceDE w:val="0"/>
        <w:autoSpaceDN w:val="0"/>
        <w:bidi w:val="0"/>
        <w:adjustRightInd w:val="0"/>
        <w:snapToGrid w:val="0"/>
        <w:spacing w:line="600" w:lineRule="atLeast"/>
        <w:textAlignment w:val="baseline"/>
        <w:rPr>
          <w:rFonts w:hint="default" w:ascii="方正黑体_GBK" w:eastAsia="方正黑体_GBK"/>
          <w:kern w:val="0"/>
          <w:sz w:val="28"/>
          <w:szCs w:val="28"/>
          <w:lang w:val="en-US" w:eastAsia="zh-CN"/>
        </w:rPr>
      </w:pPr>
      <w:r>
        <w:rPr>
          <w:rFonts w:hint="eastAsia" w:ascii="方正黑体_GBK" w:eastAsia="方正黑体_GBK"/>
          <w:kern w:val="0"/>
          <w:sz w:val="32"/>
          <w:szCs w:val="32"/>
          <w:lang w:val="en-US" w:eastAsia="zh-CN"/>
        </w:rPr>
        <w:t xml:space="preserve">      </w:t>
      </w: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年度汨罗市委统战部没有国有资本经营预算支出。</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0" w:firstLineChars="200"/>
        <w:textAlignment w:val="baseline"/>
        <w:rPr>
          <w:rFonts w:hint="eastAsia" w:ascii="方正黑体_GBK" w:eastAsia="方正黑体_GBK"/>
          <w:kern w:val="0"/>
          <w:sz w:val="32"/>
          <w:szCs w:val="32"/>
          <w:lang w:eastAsia="zh-CN"/>
        </w:rPr>
      </w:pP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年度汨罗市委统战部没有社会保险基金预算支出。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560" w:firstLineChars="200"/>
        <w:jc w:val="both"/>
        <w:rPr>
          <w:rFonts w:eastAsia="仿宋_GB2312"/>
          <w:kern w:val="0"/>
          <w:sz w:val="32"/>
          <w:szCs w:val="32"/>
          <w:lang w:eastAsia="zh-CN"/>
        </w:rPr>
      </w:pPr>
      <w:r>
        <w:rPr>
          <w:rFonts w:hint="eastAsia" w:ascii="仿宋" w:hAnsi="仿宋" w:eastAsia="仿宋" w:cs="宋体"/>
          <w:kern w:val="0"/>
          <w:sz w:val="28"/>
          <w:szCs w:val="28"/>
        </w:rPr>
        <w:t>本单位各项项目资金其主要用途是确保单位的正常运转，促进各项工作任务顺利完成。在人员经费支出、公共支出严格执行市委市政府的各项制度；在项目经费的使用上，在保证各项任务顺利完成的同时，严格落实厉行节约的原则。</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560" w:firstLineChars="200"/>
        <w:jc w:val="both"/>
        <w:rPr>
          <w:rFonts w:hint="eastAsia" w:ascii="仿宋" w:hAnsi="仿宋" w:eastAsia="仿宋" w:cs="宋体"/>
          <w:kern w:val="0"/>
          <w:sz w:val="28"/>
          <w:szCs w:val="28"/>
        </w:rPr>
      </w:pPr>
      <w:r>
        <w:rPr>
          <w:rFonts w:hint="eastAsia" w:ascii="仿宋" w:hAnsi="仿宋" w:eastAsia="仿宋" w:cs="宋体"/>
          <w:kern w:val="0"/>
          <w:sz w:val="28"/>
          <w:szCs w:val="28"/>
        </w:rPr>
        <w:t xml:space="preserve"> 1. 进一步加强项目资金管理，节约资金，最大限度提高资金的绩效目标。</w:t>
      </w:r>
      <w:r>
        <w:rPr>
          <w:rFonts w:hint="eastAsia" w:ascii="仿宋" w:hAnsi="仿宋" w:eastAsia="仿宋" w:cs="宋体"/>
          <w:kern w:val="0"/>
          <w:sz w:val="28"/>
          <w:szCs w:val="28"/>
        </w:rPr>
        <w:br w:type="textWrapping"/>
      </w:r>
      <w:r>
        <w:rPr>
          <w:rFonts w:hint="eastAsia" w:ascii="仿宋" w:hAnsi="仿宋" w:eastAsia="仿宋" w:cs="宋体"/>
          <w:kern w:val="0"/>
          <w:sz w:val="28"/>
          <w:szCs w:val="28"/>
        </w:rPr>
        <w:t xml:space="preserve">    2.预算控制率有待降低。除政策性因素以外，由于部分临时、紧急或突发的工作任务导致年中追加预算。</w:t>
      </w:r>
    </w:p>
    <w:p>
      <w:pPr>
        <w:spacing w:line="600" w:lineRule="exact"/>
        <w:ind w:firstLine="560" w:firstLineChars="200"/>
        <w:jc w:val="both"/>
        <w:rPr>
          <w:rFonts w:ascii="方正黑体_GBK" w:eastAsia="方正黑体_GBK"/>
          <w:kern w:val="0"/>
          <w:sz w:val="32"/>
          <w:szCs w:val="32"/>
          <w:lang w:eastAsia="zh-CN"/>
        </w:rPr>
      </w:pPr>
      <w:r>
        <w:rPr>
          <w:rFonts w:hint="eastAsia" w:ascii="仿宋" w:hAnsi="仿宋" w:eastAsia="仿宋" w:cs="宋体"/>
          <w:kern w:val="0"/>
          <w:sz w:val="28"/>
          <w:szCs w:val="28"/>
        </w:rPr>
        <w:t>3.专项资金少，资金压力大。由于人员较少，在经费预算上相较于其他单位也少，但是本单位参与了市委市政府的中心工作，资金压力比较大，运行经费不足。</w:t>
      </w:r>
      <w:r>
        <w:rPr>
          <w:rFonts w:hint="eastAsia" w:ascii="仿宋" w:hAnsi="仿宋" w:eastAsia="仿宋" w:cs="宋体"/>
          <w:kern w:val="0"/>
          <w:sz w:val="28"/>
          <w:szCs w:val="28"/>
        </w:rPr>
        <w:br w:type="textWrapping"/>
      </w:r>
      <w:r>
        <w:rPr>
          <w:rFonts w:hint="eastAsia" w:ascii="仿宋" w:hAnsi="仿宋" w:eastAsia="仿宋" w:cs="宋体"/>
          <w:kern w:val="0"/>
          <w:sz w:val="28"/>
          <w:szCs w:val="28"/>
          <w:lang w:val="en-US" w:eastAsia="zh-CN"/>
        </w:rPr>
        <w:t xml:space="preserve">     </w:t>
      </w:r>
      <w:r>
        <w:rPr>
          <w:rFonts w:hint="eastAsia" w:ascii="方正黑体_GBK" w:eastAsia="方正黑体_GBK"/>
          <w:kern w:val="0"/>
          <w:sz w:val="32"/>
          <w:szCs w:val="32"/>
          <w:lang w:eastAsia="zh-CN"/>
        </w:rPr>
        <w:t>八、下一步改进措施</w:t>
      </w:r>
    </w:p>
    <w:p>
      <w:pPr>
        <w:spacing w:line="600" w:lineRule="exact"/>
        <w:ind w:firstLine="560" w:firstLineChars="200"/>
        <w:jc w:val="both"/>
        <w:rPr>
          <w:rFonts w:hint="eastAsia" w:ascii="仿宋" w:hAnsi="仿宋" w:eastAsia="仿宋" w:cs="宋体"/>
          <w:kern w:val="0"/>
          <w:sz w:val="28"/>
          <w:szCs w:val="28"/>
        </w:rPr>
      </w:pPr>
      <w:r>
        <w:rPr>
          <w:rFonts w:hint="eastAsia" w:ascii="仿宋" w:hAnsi="仿宋" w:eastAsia="仿宋" w:cs="宋体"/>
          <w:kern w:val="0"/>
          <w:sz w:val="28"/>
          <w:szCs w:val="28"/>
        </w:rPr>
        <w:t xml:space="preserve"> 1、细化预算编制，精益求精做好预算编制工作。同时进一步加强内设机构的预算管理意识，严格按照预算编制的相关制度和指标要求进行操作。</w:t>
      </w:r>
    </w:p>
    <w:p>
      <w:pPr>
        <w:spacing w:line="600" w:lineRule="exact"/>
        <w:ind w:firstLine="560" w:firstLineChars="200"/>
        <w:jc w:val="both"/>
        <w:rPr>
          <w:rFonts w:hint="eastAsia" w:ascii="仿宋" w:hAnsi="仿宋" w:eastAsia="仿宋" w:cs="宋体"/>
          <w:kern w:val="0"/>
          <w:sz w:val="28"/>
          <w:szCs w:val="28"/>
        </w:rPr>
      </w:pPr>
      <w:r>
        <w:rPr>
          <w:rFonts w:hint="eastAsia" w:ascii="仿宋" w:hAnsi="仿宋" w:eastAsia="仿宋" w:cs="宋体"/>
          <w:kern w:val="0"/>
          <w:sz w:val="28"/>
          <w:szCs w:val="28"/>
        </w:rPr>
        <w:t xml:space="preserve">    2、加强财务管理，严格财务审核。加强单位财务管理，健全单位财务管理制度体系，规范单位财务行为。在费用报账支付时，按照预算规定的费用项目和用途进行资金使用审核、财务严格核算，杜绝超支现象的发生。</w:t>
      </w:r>
    </w:p>
    <w:p>
      <w:pPr>
        <w:spacing w:line="600" w:lineRule="exact"/>
        <w:ind w:firstLine="560" w:firstLineChars="200"/>
        <w:jc w:val="both"/>
        <w:rPr>
          <w:rFonts w:hint="eastAsia" w:ascii="仿宋" w:hAnsi="仿宋" w:eastAsia="仿宋" w:cs="宋体"/>
          <w:kern w:val="0"/>
          <w:sz w:val="28"/>
          <w:szCs w:val="28"/>
        </w:rPr>
      </w:pPr>
      <w:r>
        <w:rPr>
          <w:rFonts w:hint="eastAsia" w:ascii="仿宋" w:hAnsi="仿宋" w:eastAsia="仿宋" w:cs="宋体"/>
          <w:kern w:val="0"/>
          <w:sz w:val="28"/>
          <w:szCs w:val="28"/>
        </w:rPr>
        <w:t xml:space="preserve">    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spacing w:line="600" w:lineRule="exact"/>
        <w:ind w:firstLine="560" w:firstLineChars="200"/>
        <w:jc w:val="both"/>
        <w:rPr>
          <w:rFonts w:hint="eastAsia" w:ascii="仿宋" w:hAnsi="仿宋" w:eastAsia="仿宋" w:cs="宋体"/>
          <w:kern w:val="0"/>
          <w:sz w:val="28"/>
          <w:szCs w:val="28"/>
        </w:rPr>
      </w:pPr>
      <w:r>
        <w:rPr>
          <w:rFonts w:hint="eastAsia" w:ascii="仿宋" w:hAnsi="仿宋" w:eastAsia="仿宋" w:cs="宋体"/>
          <w:kern w:val="0"/>
          <w:sz w:val="28"/>
          <w:szCs w:val="28"/>
        </w:rPr>
        <w:t xml:space="preserve">    4、对相关人员加强培训，特别是针对《预算法》、《行政事业单位会计制度》等学习培训，规范部门预算收支核算，切实提高部门预算收支管理水平。</w:t>
      </w:r>
    </w:p>
    <w:p>
      <w:pPr>
        <w:spacing w:line="600" w:lineRule="exact"/>
        <w:ind w:firstLine="560" w:firstLineChars="200"/>
        <w:jc w:val="both"/>
        <w:rPr>
          <w:rFonts w:hint="eastAsia" w:ascii="方正黑体_GBK" w:eastAsia="方正黑体_GBK"/>
          <w:kern w:val="0"/>
          <w:sz w:val="32"/>
          <w:szCs w:val="32"/>
          <w:lang w:eastAsia="zh-CN"/>
        </w:rPr>
      </w:pPr>
      <w:r>
        <w:rPr>
          <w:rFonts w:hint="eastAsia" w:ascii="仿宋" w:hAnsi="仿宋" w:eastAsia="仿宋" w:cs="宋体"/>
          <w:kern w:val="0"/>
          <w:sz w:val="28"/>
          <w:szCs w:val="28"/>
        </w:rPr>
        <w:t xml:space="preserve">    5、加大财政保障和支持力度，对政策性经费支出足额安排预算，保证刚性支出，并按实追加部分经费补助。</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0" w:firstLineChars="200"/>
        <w:textAlignment w:val="baseline"/>
        <w:rPr>
          <w:rFonts w:hint="eastAsia" w:eastAsia="黑体"/>
          <w:kern w:val="0"/>
          <w:sz w:val="32"/>
          <w:szCs w:val="32"/>
          <w:lang w:eastAsia="zh-CN"/>
        </w:rPr>
      </w:pPr>
      <w:r>
        <w:rPr>
          <w:rFonts w:hint="eastAsia" w:ascii="仿宋" w:hAnsi="仿宋" w:eastAsia="仿宋" w:cs="宋体"/>
          <w:kern w:val="0"/>
          <w:sz w:val="28"/>
          <w:szCs w:val="28"/>
        </w:rPr>
        <w:t>绩效自评分数9</w:t>
      </w:r>
      <w:r>
        <w:rPr>
          <w:rFonts w:hint="eastAsia" w:ascii="仿宋" w:hAnsi="仿宋" w:eastAsia="仿宋" w:cs="宋体"/>
          <w:kern w:val="0"/>
          <w:sz w:val="28"/>
          <w:szCs w:val="28"/>
          <w:lang w:val="en-US" w:eastAsia="zh-CN"/>
        </w:rPr>
        <w:t>8</w:t>
      </w:r>
      <w:r>
        <w:rPr>
          <w:rFonts w:hint="eastAsia" w:ascii="仿宋" w:hAnsi="仿宋" w:eastAsia="仿宋" w:cs="宋体"/>
          <w:kern w:val="0"/>
          <w:sz w:val="28"/>
          <w:szCs w:val="28"/>
        </w:rPr>
        <w:t>分，我单位202</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年自评结果拟用于202</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年财政预算和工作任务中，并在政府网公开并接受社会监督。</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0" w:firstLineChars="200"/>
        <w:textAlignment w:val="baseline"/>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无</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统战部</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15</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pPr>
        <w:spacing w:line="600" w:lineRule="exact"/>
        <w:ind w:firstLine="560" w:firstLineChars="200"/>
        <w:rPr>
          <w:rFonts w:hint="eastAsia" w:ascii="仿宋" w:hAnsi="仿宋" w:eastAsia="仿宋" w:cs="宋体"/>
          <w:snapToGrid w:val="0"/>
          <w:color w:val="000000"/>
          <w:kern w:val="0"/>
          <w:sz w:val="28"/>
          <w:szCs w:val="28"/>
          <w:lang w:val="zh-TW" w:eastAsia="en-US" w:bidi="ar-SA"/>
        </w:rPr>
      </w:pPr>
      <w:r>
        <w:rPr>
          <w:rFonts w:hint="eastAsia" w:ascii="仿宋" w:hAnsi="仿宋" w:eastAsia="仿宋" w:cs="宋体"/>
          <w:snapToGrid w:val="0"/>
          <w:color w:val="000000"/>
          <w:kern w:val="0"/>
          <w:sz w:val="28"/>
          <w:szCs w:val="28"/>
          <w:lang w:val="en-US" w:eastAsia="en-US" w:bidi="ar-SA"/>
        </w:rPr>
        <w:t>为保障统战工作正常开展，202</w:t>
      </w:r>
      <w:r>
        <w:rPr>
          <w:rFonts w:hint="eastAsia" w:ascii="仿宋" w:hAnsi="仿宋" w:eastAsia="仿宋" w:cs="宋体"/>
          <w:snapToGrid w:val="0"/>
          <w:color w:val="000000"/>
          <w:kern w:val="0"/>
          <w:sz w:val="28"/>
          <w:szCs w:val="28"/>
          <w:lang w:val="en-US" w:eastAsia="zh-CN" w:bidi="ar-SA"/>
        </w:rPr>
        <w:t>2</w:t>
      </w:r>
      <w:r>
        <w:rPr>
          <w:rFonts w:hint="eastAsia" w:ascii="仿宋" w:hAnsi="仿宋" w:eastAsia="仿宋" w:cs="宋体"/>
          <w:snapToGrid w:val="0"/>
          <w:color w:val="000000"/>
          <w:kern w:val="0"/>
          <w:sz w:val="28"/>
          <w:szCs w:val="28"/>
          <w:lang w:val="en-US" w:eastAsia="en-US" w:bidi="ar-SA"/>
        </w:rPr>
        <w:t>年度</w:t>
      </w:r>
      <w:r>
        <w:rPr>
          <w:rFonts w:hint="eastAsia" w:ascii="仿宋" w:hAnsi="仿宋" w:eastAsia="仿宋" w:cs="宋体"/>
          <w:snapToGrid w:val="0"/>
          <w:color w:val="000000"/>
          <w:kern w:val="0"/>
          <w:sz w:val="28"/>
          <w:szCs w:val="28"/>
          <w:lang w:val="en-US" w:eastAsia="zh-CN" w:bidi="ar-SA"/>
        </w:rPr>
        <w:t>统战部专项</w:t>
      </w:r>
      <w:r>
        <w:rPr>
          <w:rFonts w:hint="eastAsia" w:ascii="仿宋" w:hAnsi="仿宋" w:eastAsia="仿宋" w:cs="宋体"/>
          <w:snapToGrid w:val="0"/>
          <w:color w:val="000000"/>
          <w:kern w:val="0"/>
          <w:sz w:val="28"/>
          <w:szCs w:val="28"/>
          <w:lang w:val="en-US" w:eastAsia="en-US" w:bidi="ar-SA"/>
        </w:rPr>
        <w:t>年初预算</w:t>
      </w:r>
      <w:r>
        <w:rPr>
          <w:rFonts w:hint="eastAsia" w:ascii="仿宋" w:hAnsi="仿宋" w:eastAsia="仿宋" w:cs="宋体"/>
          <w:snapToGrid w:val="0"/>
          <w:color w:val="000000"/>
          <w:kern w:val="0"/>
          <w:sz w:val="28"/>
          <w:szCs w:val="28"/>
          <w:lang w:val="en-US" w:eastAsia="zh-CN" w:bidi="ar-SA"/>
        </w:rPr>
        <w:t>88</w:t>
      </w:r>
      <w:r>
        <w:rPr>
          <w:rFonts w:hint="eastAsia" w:ascii="仿宋" w:hAnsi="仿宋" w:eastAsia="仿宋" w:cs="宋体"/>
          <w:snapToGrid w:val="0"/>
          <w:color w:val="000000"/>
          <w:kern w:val="0"/>
          <w:sz w:val="28"/>
          <w:szCs w:val="28"/>
          <w:lang w:val="en-US" w:eastAsia="en-US" w:bidi="ar-SA"/>
        </w:rPr>
        <w:t>万元，实际支出</w:t>
      </w:r>
      <w:r>
        <w:rPr>
          <w:rFonts w:hint="eastAsia" w:ascii="仿宋" w:hAnsi="仿宋" w:eastAsia="仿宋" w:cs="宋体"/>
          <w:snapToGrid w:val="0"/>
          <w:color w:val="000000"/>
          <w:kern w:val="0"/>
          <w:sz w:val="28"/>
          <w:szCs w:val="28"/>
          <w:lang w:val="en-US" w:eastAsia="zh-CN" w:bidi="ar-SA"/>
        </w:rPr>
        <w:t>96.73</w:t>
      </w:r>
      <w:r>
        <w:rPr>
          <w:rFonts w:hint="eastAsia" w:ascii="仿宋" w:hAnsi="仿宋" w:eastAsia="仿宋" w:cs="宋体"/>
          <w:snapToGrid w:val="0"/>
          <w:color w:val="000000"/>
          <w:kern w:val="0"/>
          <w:sz w:val="28"/>
          <w:szCs w:val="28"/>
          <w:lang w:val="en-US" w:eastAsia="en-US" w:bidi="ar-SA"/>
        </w:rPr>
        <w:t>万元。以“凝聚新共识、践行新实践、奋进新征程”为工作目标，今年市委常委会、市委理论中心组4次传达学习中央、省、市统战工作精神</w:t>
      </w:r>
      <w:r>
        <w:rPr>
          <w:rFonts w:hint="eastAsia" w:ascii="仿宋" w:hAnsi="仿宋" w:eastAsia="仿宋" w:cs="宋体"/>
          <w:snapToGrid w:val="0"/>
          <w:color w:val="000000"/>
          <w:kern w:val="0"/>
          <w:sz w:val="28"/>
          <w:szCs w:val="28"/>
          <w:lang w:val="en-US" w:eastAsia="zh-CN" w:bidi="ar-SA"/>
        </w:rPr>
        <w:t>；</w:t>
      </w:r>
      <w:r>
        <w:rPr>
          <w:rFonts w:hint="eastAsia" w:ascii="仿宋" w:hAnsi="仿宋" w:eastAsia="仿宋" w:cs="宋体"/>
          <w:snapToGrid w:val="0"/>
          <w:color w:val="000000"/>
          <w:kern w:val="0"/>
          <w:sz w:val="28"/>
          <w:szCs w:val="28"/>
          <w:lang w:val="en-US" w:eastAsia="en-US" w:bidi="ar-SA"/>
        </w:rPr>
        <w:t>开展统一战线“同心•大讲堂”22期</w:t>
      </w:r>
      <w:r>
        <w:rPr>
          <w:rFonts w:hint="eastAsia" w:ascii="仿宋" w:hAnsi="仿宋" w:eastAsia="仿宋" w:cs="宋体"/>
          <w:snapToGrid w:val="0"/>
          <w:color w:val="000000"/>
          <w:kern w:val="0"/>
          <w:sz w:val="28"/>
          <w:szCs w:val="28"/>
          <w:lang w:val="en-US" w:eastAsia="zh-CN" w:bidi="ar-SA"/>
        </w:rPr>
        <w:t>；</w:t>
      </w:r>
      <w:r>
        <w:rPr>
          <w:rFonts w:hint="eastAsia" w:ascii="仿宋" w:hAnsi="仿宋" w:eastAsia="仿宋" w:cs="宋体"/>
          <w:snapToGrid w:val="0"/>
          <w:color w:val="000000"/>
          <w:kern w:val="0"/>
          <w:sz w:val="28"/>
          <w:szCs w:val="28"/>
          <w:lang w:val="en-US" w:eastAsia="en-US" w:bidi="ar-SA"/>
        </w:rPr>
        <w:t>围绕产业集群、项目建设、招商引资、营商环境等开展15次专题调研，形成8个高质量调研报告</w:t>
      </w:r>
      <w:r>
        <w:rPr>
          <w:rFonts w:hint="eastAsia" w:ascii="仿宋" w:hAnsi="仿宋" w:eastAsia="仿宋" w:cs="宋体"/>
          <w:snapToGrid w:val="0"/>
          <w:color w:val="000000"/>
          <w:kern w:val="0"/>
          <w:sz w:val="28"/>
          <w:szCs w:val="28"/>
          <w:lang w:val="en-US" w:eastAsia="zh-CN" w:bidi="ar-SA"/>
        </w:rPr>
        <w:t>；</w:t>
      </w:r>
      <w:r>
        <w:rPr>
          <w:rFonts w:hint="eastAsia" w:ascii="仿宋" w:hAnsi="仿宋" w:eastAsia="仿宋" w:cs="宋体"/>
          <w:snapToGrid w:val="0"/>
          <w:color w:val="000000"/>
          <w:kern w:val="0"/>
          <w:sz w:val="28"/>
          <w:szCs w:val="28"/>
          <w:lang w:val="en-US" w:eastAsia="en-US" w:bidi="ar-SA"/>
        </w:rPr>
        <w:t>组织发动新阶联、知联会、民营企业、佛道教协会等力量捐资捐物，累计捐款600余万元，捐物价值500余万元</w:t>
      </w:r>
      <w:r>
        <w:rPr>
          <w:rFonts w:hint="eastAsia" w:ascii="仿宋" w:hAnsi="仿宋" w:eastAsia="仿宋" w:cs="宋体"/>
          <w:snapToGrid w:val="0"/>
          <w:color w:val="000000"/>
          <w:kern w:val="0"/>
          <w:sz w:val="28"/>
          <w:szCs w:val="28"/>
          <w:lang w:val="en-US" w:eastAsia="zh-CN" w:bidi="ar-SA"/>
        </w:rPr>
        <w:t>；</w:t>
      </w:r>
      <w:r>
        <w:rPr>
          <w:rFonts w:hint="eastAsia" w:ascii="仿宋" w:hAnsi="仿宋" w:eastAsia="仿宋" w:cs="宋体"/>
          <w:snapToGrid w:val="0"/>
          <w:color w:val="000000"/>
          <w:kern w:val="0"/>
          <w:sz w:val="28"/>
          <w:szCs w:val="28"/>
          <w:lang w:val="en-US" w:eastAsia="en-US" w:bidi="ar-SA"/>
        </w:rPr>
        <w:t>扎实抓好民营经济统战工作，通过优化营商环境，新签约项目105个，新开工项目74个，新投产项目49个，新增国家级专精特新“小巨人”企业3家，新增省级专精特新“小巨人”企业8家</w:t>
      </w:r>
      <w:r>
        <w:rPr>
          <w:rFonts w:hint="eastAsia" w:ascii="仿宋" w:hAnsi="仿宋" w:eastAsia="仿宋" w:cs="宋体"/>
          <w:snapToGrid w:val="0"/>
          <w:color w:val="000000"/>
          <w:kern w:val="0"/>
          <w:sz w:val="28"/>
          <w:szCs w:val="28"/>
          <w:lang w:val="en-US" w:eastAsia="zh-CN" w:bidi="ar-SA"/>
        </w:rPr>
        <w:t>；</w:t>
      </w:r>
      <w:r>
        <w:rPr>
          <w:rFonts w:hint="eastAsia" w:ascii="仿宋" w:hAnsi="仿宋" w:eastAsia="仿宋" w:cs="宋体"/>
          <w:snapToGrid w:val="0"/>
          <w:color w:val="000000"/>
          <w:kern w:val="0"/>
          <w:sz w:val="28"/>
          <w:szCs w:val="28"/>
          <w:lang w:val="en-US" w:eastAsia="en-US" w:bidi="ar-SA"/>
        </w:rPr>
        <w:t>先后组织开展5场次“企业家沙龙”活动，共收集汇总各类问题67个</w:t>
      </w:r>
      <w:r>
        <w:rPr>
          <w:rFonts w:hint="eastAsia" w:ascii="仿宋" w:hAnsi="仿宋" w:eastAsia="仿宋" w:cs="宋体"/>
          <w:snapToGrid w:val="0"/>
          <w:color w:val="000000"/>
          <w:kern w:val="0"/>
          <w:sz w:val="28"/>
          <w:szCs w:val="28"/>
          <w:lang w:val="en-US" w:eastAsia="zh-CN" w:bidi="ar-SA"/>
        </w:rPr>
        <w:t>；</w:t>
      </w:r>
      <w:r>
        <w:rPr>
          <w:rFonts w:hint="eastAsia" w:ascii="仿宋" w:hAnsi="仿宋" w:eastAsia="仿宋" w:cs="宋体"/>
          <w:snapToGrid w:val="0"/>
          <w:color w:val="000000"/>
          <w:kern w:val="0"/>
          <w:sz w:val="28"/>
          <w:szCs w:val="28"/>
          <w:lang w:val="en-US" w:eastAsia="en-US" w:bidi="ar-SA"/>
        </w:rPr>
        <w:t>创建省级同心美丽乡村2个、同心社区1个，岳阳市级同心美丽乡村5个、同心社区1个，县级同心美丽乡村12个、同心社区1个</w:t>
      </w:r>
      <w:r>
        <w:rPr>
          <w:rFonts w:hint="eastAsia" w:ascii="仿宋" w:hAnsi="仿宋" w:eastAsia="仿宋" w:cs="宋体"/>
          <w:snapToGrid w:val="0"/>
          <w:color w:val="000000"/>
          <w:kern w:val="0"/>
          <w:sz w:val="28"/>
          <w:szCs w:val="28"/>
          <w:lang w:val="en-US" w:eastAsia="zh-CN" w:bidi="ar-SA"/>
        </w:rPr>
        <w:t>；</w:t>
      </w:r>
      <w:r>
        <w:rPr>
          <w:rFonts w:hint="eastAsia" w:ascii="仿宋" w:hAnsi="仿宋" w:eastAsia="仿宋" w:cs="宋体"/>
          <w:snapToGrid w:val="0"/>
          <w:color w:val="000000"/>
          <w:kern w:val="0"/>
          <w:sz w:val="28"/>
          <w:szCs w:val="28"/>
          <w:lang w:val="en-US" w:eastAsia="en-US" w:bidi="ar-SA"/>
        </w:rPr>
        <w:t>深入实施“万企兴万村”行动</w:t>
      </w:r>
      <w:r>
        <w:rPr>
          <w:rFonts w:hint="eastAsia" w:ascii="仿宋" w:hAnsi="仿宋" w:eastAsia="仿宋" w:cs="宋体"/>
          <w:snapToGrid w:val="0"/>
          <w:color w:val="000000"/>
          <w:kern w:val="0"/>
          <w:sz w:val="28"/>
          <w:szCs w:val="28"/>
          <w:lang w:val="en-US" w:eastAsia="zh-CN" w:bidi="ar-SA"/>
        </w:rPr>
        <w:t>，</w:t>
      </w:r>
      <w:r>
        <w:rPr>
          <w:rFonts w:hint="eastAsia" w:ascii="仿宋" w:hAnsi="仿宋" w:eastAsia="仿宋" w:cs="宋体"/>
          <w:snapToGrid w:val="0"/>
          <w:color w:val="000000"/>
          <w:kern w:val="0"/>
          <w:sz w:val="28"/>
          <w:szCs w:val="28"/>
          <w:lang w:val="en-US" w:eastAsia="en-US" w:bidi="ar-SA"/>
        </w:rPr>
        <w:t>广泛发动寓外乡友、统战社团、社会乡贤围绕乡村产业发展、教育改革、基础建设等方面献计出力，如新阶联主席黄勇光出资260万元支持家乡教育建设；广东商会执行会长黄吉光带资600万元回乡推动高丰村“小田改大田”改革的相关做法得到省委主要领导的充分肯定，中央焦点访谈重点推介；湖南优冠实业董事长钟高明捐建25个中小学高标准运动场。</w:t>
      </w:r>
      <w:r>
        <w:rPr>
          <w:rFonts w:hint="eastAsia" w:ascii="仿宋" w:hAnsi="仿宋" w:eastAsia="仿宋" w:cs="宋体"/>
          <w:snapToGrid w:val="0"/>
          <w:color w:val="000000"/>
          <w:kern w:val="0"/>
          <w:sz w:val="28"/>
          <w:szCs w:val="28"/>
          <w:lang w:val="zh-TW" w:eastAsia="zh-TW" w:bidi="ar-SA"/>
        </w:rPr>
        <w:t>建立部门宗教事务联合执法机制，定期召集成员单位，就治理场所违法建设、财务管理混乱等重点问题研判会商，及时协调解决</w:t>
      </w:r>
      <w:r>
        <w:rPr>
          <w:rFonts w:hint="eastAsia" w:ascii="仿宋" w:hAnsi="仿宋" w:eastAsia="仿宋" w:cs="宋体"/>
          <w:snapToGrid w:val="0"/>
          <w:color w:val="000000"/>
          <w:kern w:val="0"/>
          <w:sz w:val="28"/>
          <w:szCs w:val="28"/>
          <w:lang w:val="zh-TW" w:eastAsia="en-US" w:bidi="ar-SA"/>
        </w:rPr>
        <w:t>，</w:t>
      </w:r>
      <w:r>
        <w:rPr>
          <w:rFonts w:hint="eastAsia" w:ascii="仿宋" w:hAnsi="仿宋" w:eastAsia="仿宋" w:cs="宋体"/>
          <w:snapToGrid w:val="0"/>
          <w:color w:val="000000"/>
          <w:kern w:val="0"/>
          <w:sz w:val="28"/>
          <w:szCs w:val="28"/>
          <w:lang w:val="zh-TW" w:eastAsia="zh-TW" w:bidi="ar-SA"/>
        </w:rPr>
        <w:t>对涉及政治领域、社会领域、海外利益等领域进行安全排查，持续</w:t>
      </w:r>
      <w:r>
        <w:rPr>
          <w:rFonts w:hint="eastAsia" w:ascii="仿宋" w:hAnsi="仿宋" w:eastAsia="仿宋" w:cs="宋体"/>
          <w:snapToGrid w:val="0"/>
          <w:color w:val="000000"/>
          <w:kern w:val="0"/>
          <w:sz w:val="28"/>
          <w:szCs w:val="28"/>
          <w:lang w:val="zh-TW" w:eastAsia="en-US" w:bidi="ar-SA"/>
        </w:rPr>
        <w:t>深入</w:t>
      </w:r>
      <w:r>
        <w:rPr>
          <w:rFonts w:hint="eastAsia" w:ascii="仿宋" w:hAnsi="仿宋" w:eastAsia="仿宋" w:cs="宋体"/>
          <w:snapToGrid w:val="0"/>
          <w:color w:val="000000"/>
          <w:kern w:val="0"/>
          <w:sz w:val="28"/>
          <w:szCs w:val="28"/>
          <w:lang w:val="zh-TW" w:eastAsia="zh-TW" w:bidi="ar-SA"/>
        </w:rPr>
        <w:t>开展非法宗教活动治理，</w:t>
      </w:r>
      <w:r>
        <w:rPr>
          <w:rFonts w:hint="eastAsia" w:ascii="仿宋" w:hAnsi="仿宋" w:eastAsia="仿宋" w:cs="宋体"/>
          <w:snapToGrid w:val="0"/>
          <w:color w:val="000000"/>
          <w:kern w:val="0"/>
          <w:sz w:val="28"/>
          <w:szCs w:val="28"/>
          <w:lang w:val="zh-TW" w:eastAsia="en-US" w:bidi="ar-SA"/>
        </w:rPr>
        <w:t>为经济社会发展营造和谐稳定的社会环境。</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pStyle w:val="9"/>
        <w:numPr>
          <w:ilvl w:val="0"/>
          <w:numId w:val="0"/>
        </w:numPr>
        <w:spacing w:line="600" w:lineRule="exact"/>
        <w:ind w:firstLine="560" w:firstLineChars="200"/>
        <w:jc w:val="both"/>
        <w:rPr>
          <w:rFonts w:hint="eastAsia" w:ascii="仿宋" w:hAnsi="仿宋" w:eastAsia="仿宋" w:cs="宋体"/>
          <w:kern w:val="0"/>
          <w:sz w:val="28"/>
          <w:szCs w:val="28"/>
          <w:lang w:val="en-US" w:eastAsia="en-US"/>
        </w:rPr>
      </w:pP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年度汨罗市委统战部专项</w:t>
      </w:r>
      <w:r>
        <w:rPr>
          <w:rFonts w:hint="eastAsia" w:ascii="仿宋" w:hAnsi="仿宋" w:eastAsia="仿宋" w:cs="宋体"/>
          <w:kern w:val="0"/>
          <w:sz w:val="28"/>
          <w:szCs w:val="28"/>
          <w:lang w:val="en-US" w:eastAsia="zh-CN"/>
        </w:rPr>
        <w:t>96.73</w:t>
      </w:r>
      <w:r>
        <w:rPr>
          <w:rFonts w:hint="eastAsia" w:ascii="仿宋" w:hAnsi="仿宋" w:eastAsia="仿宋" w:cs="宋体"/>
          <w:kern w:val="0"/>
          <w:sz w:val="28"/>
          <w:szCs w:val="28"/>
        </w:rPr>
        <w:t>万元。主要用于：民族及宗教处置工作经费52.19万元、“迎老乡、回故乡、建家乡”工作经费9.35万元、非公党组织建设及党外干部管理2.89万元、侨联工作专项1.68万元、光彩事业及同心工程经费10.2万元、起义投诚人员生活补助0.28万元、党外知识分子联谊会活动经费14.42万元、两岸交流及海外联络联谊工作经费1.57万元，调研培训专项工作经费4.15万元。</w:t>
      </w:r>
      <w:r>
        <w:rPr>
          <w:rFonts w:hint="eastAsia" w:ascii="仿宋" w:hAnsi="仿宋" w:eastAsia="仿宋" w:cs="宋体"/>
          <w:snapToGrid w:val="0"/>
          <w:color w:val="000000"/>
          <w:kern w:val="0"/>
          <w:sz w:val="28"/>
          <w:szCs w:val="28"/>
          <w:lang w:val="en-US" w:eastAsia="en-US" w:bidi="ar-SA"/>
        </w:rPr>
        <w:t>在使用专项资金时，严格执行专项资金使用制度和财务制度，同时对各项专项资金的使用流程进行监督，定时查看财务报表检查专项资金使用情况。</w:t>
      </w:r>
    </w:p>
    <w:p>
      <w:pPr>
        <w:pStyle w:val="2"/>
        <w:keepNext w:val="0"/>
        <w:keepLines w:val="0"/>
        <w:pageBreakBefore w:val="0"/>
        <w:widowControl/>
        <w:kinsoku w:val="0"/>
        <w:wordWrap/>
        <w:overflowPunct/>
        <w:topLinePunct w:val="0"/>
        <w:autoSpaceDE w:val="0"/>
        <w:autoSpaceDN w:val="0"/>
        <w:bidi w:val="0"/>
        <w:adjustRightInd w:val="0"/>
        <w:snapToGrid w:val="0"/>
        <w:spacing w:line="600" w:lineRule="atLeas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0" w:firstLineChars="200"/>
        <w:textAlignment w:val="baseline"/>
        <w:rPr>
          <w:rFonts w:hint="eastAsia" w:ascii="仿宋" w:hAnsi="仿宋" w:eastAsia="仿宋" w:cs="宋体"/>
          <w:snapToGrid w:val="0"/>
          <w:color w:val="000000"/>
          <w:kern w:val="0"/>
          <w:sz w:val="28"/>
          <w:szCs w:val="28"/>
          <w:lang w:val="en-US" w:eastAsia="en-US" w:bidi="ar-SA"/>
        </w:rPr>
      </w:pPr>
      <w:r>
        <w:rPr>
          <w:rFonts w:hint="eastAsia" w:ascii="仿宋" w:hAnsi="仿宋" w:eastAsia="仿宋" w:cs="宋体"/>
          <w:snapToGrid w:val="0"/>
          <w:color w:val="000000"/>
          <w:kern w:val="0"/>
          <w:sz w:val="28"/>
          <w:szCs w:val="28"/>
          <w:lang w:val="en-US" w:eastAsia="en-US" w:bidi="ar-SA"/>
        </w:rPr>
        <w:t>202</w:t>
      </w:r>
      <w:r>
        <w:rPr>
          <w:rFonts w:hint="eastAsia" w:ascii="仿宋" w:hAnsi="仿宋" w:eastAsia="仿宋" w:cs="宋体"/>
          <w:snapToGrid w:val="0"/>
          <w:color w:val="000000"/>
          <w:kern w:val="0"/>
          <w:sz w:val="28"/>
          <w:szCs w:val="28"/>
          <w:lang w:val="en-US" w:eastAsia="zh-CN" w:bidi="ar-SA"/>
        </w:rPr>
        <w:t>2</w:t>
      </w:r>
      <w:r>
        <w:rPr>
          <w:rFonts w:hint="eastAsia" w:ascii="仿宋" w:hAnsi="仿宋" w:eastAsia="仿宋" w:cs="宋体"/>
          <w:snapToGrid w:val="0"/>
          <w:color w:val="000000"/>
          <w:kern w:val="0"/>
          <w:sz w:val="28"/>
          <w:szCs w:val="28"/>
          <w:lang w:val="en-US" w:eastAsia="en-US" w:bidi="ar-SA"/>
        </w:rPr>
        <w:t xml:space="preserve">年本项目按专项资金的用途专款专用，达到预期指标。产出指标、效益指标、满意度指标均达到预期指标，完成情况良好。  </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559" w:leftChars="266" w:firstLine="0" w:firstLineChars="0"/>
        <w:textAlignment w:val="baseline"/>
        <w:outlineLvl w:val="0"/>
        <w:rPr>
          <w:rFonts w:ascii="黑体" w:hAnsi="黑体" w:eastAsia="黑体" w:cs="黑体"/>
          <w:b/>
          <w:bCs/>
          <w:spacing w:val="-15"/>
          <w:sz w:val="31"/>
          <w:szCs w:val="31"/>
        </w:rPr>
      </w:pPr>
      <w:r>
        <w:rPr>
          <w:rFonts w:hint="eastAsia" w:ascii="仿宋" w:hAnsi="仿宋" w:eastAsia="仿宋" w:cs="宋体"/>
          <w:snapToGrid w:val="0"/>
          <w:color w:val="000000"/>
          <w:kern w:val="0"/>
          <w:sz w:val="28"/>
          <w:szCs w:val="28"/>
          <w:lang w:val="en-US" w:eastAsia="en-US" w:bidi="ar-SA"/>
        </w:rPr>
        <w:t>202</w:t>
      </w:r>
      <w:r>
        <w:rPr>
          <w:rFonts w:hint="eastAsia" w:ascii="仿宋" w:hAnsi="仿宋" w:eastAsia="仿宋" w:cs="宋体"/>
          <w:snapToGrid w:val="0"/>
          <w:color w:val="000000"/>
          <w:kern w:val="0"/>
          <w:sz w:val="28"/>
          <w:szCs w:val="28"/>
          <w:lang w:val="en-US" w:eastAsia="zh-CN" w:bidi="ar-SA"/>
        </w:rPr>
        <w:t>2</w:t>
      </w:r>
      <w:r>
        <w:rPr>
          <w:rFonts w:hint="eastAsia" w:ascii="仿宋" w:hAnsi="仿宋" w:eastAsia="仿宋" w:cs="宋体"/>
          <w:snapToGrid w:val="0"/>
          <w:color w:val="000000"/>
          <w:kern w:val="0"/>
          <w:sz w:val="28"/>
          <w:szCs w:val="28"/>
          <w:lang w:val="en-US" w:eastAsia="en-US" w:bidi="ar-SA"/>
        </w:rPr>
        <w:t>年，确保了</w:t>
      </w:r>
      <w:r>
        <w:rPr>
          <w:rFonts w:hint="eastAsia" w:ascii="仿宋" w:hAnsi="仿宋" w:eastAsia="仿宋" w:cs="宋体"/>
          <w:snapToGrid w:val="0"/>
          <w:color w:val="000000"/>
          <w:kern w:val="0"/>
          <w:sz w:val="28"/>
          <w:szCs w:val="28"/>
          <w:lang w:val="en-US" w:eastAsia="zh-CN" w:bidi="ar-SA"/>
        </w:rPr>
        <w:t>统战部各项</w:t>
      </w:r>
      <w:r>
        <w:rPr>
          <w:rFonts w:hint="eastAsia" w:ascii="仿宋" w:hAnsi="仿宋" w:eastAsia="仿宋" w:cs="宋体"/>
          <w:snapToGrid w:val="0"/>
          <w:color w:val="000000"/>
          <w:kern w:val="0"/>
          <w:sz w:val="28"/>
          <w:szCs w:val="28"/>
          <w:lang w:val="en-US" w:eastAsia="en-US" w:bidi="ar-SA"/>
        </w:rPr>
        <w:t>工作的正常、有序开展，促进了社会和谐稳定</w:t>
      </w: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0" w:firstLineChars="200"/>
        <w:textAlignment w:val="baseline"/>
        <w:outlineLvl w:val="0"/>
        <w:rPr>
          <w:rFonts w:hint="eastAsia" w:ascii="仿宋" w:hAnsi="仿宋" w:eastAsia="仿宋" w:cs="宋体"/>
          <w:snapToGrid w:val="0"/>
          <w:color w:val="000000"/>
          <w:kern w:val="0"/>
          <w:sz w:val="28"/>
          <w:szCs w:val="28"/>
          <w:lang w:val="en-US" w:eastAsia="en-US" w:bidi="ar-SA"/>
        </w:rPr>
      </w:pPr>
      <w:r>
        <w:rPr>
          <w:rFonts w:hint="eastAsia" w:ascii="仿宋" w:hAnsi="仿宋" w:eastAsia="仿宋" w:cs="宋体"/>
          <w:snapToGrid w:val="0"/>
          <w:color w:val="000000"/>
          <w:kern w:val="0"/>
          <w:sz w:val="28"/>
          <w:szCs w:val="28"/>
          <w:lang w:val="en-US" w:eastAsia="en-US" w:bidi="ar-SA"/>
        </w:rPr>
        <w:t>202</w:t>
      </w:r>
      <w:r>
        <w:rPr>
          <w:rFonts w:hint="eastAsia" w:ascii="仿宋" w:hAnsi="仿宋" w:eastAsia="仿宋" w:cs="宋体"/>
          <w:snapToGrid w:val="0"/>
          <w:color w:val="000000"/>
          <w:kern w:val="0"/>
          <w:sz w:val="28"/>
          <w:szCs w:val="28"/>
          <w:lang w:val="en-US" w:eastAsia="zh-CN" w:bidi="ar-SA"/>
        </w:rPr>
        <w:t>2</w:t>
      </w:r>
      <w:r>
        <w:rPr>
          <w:rFonts w:hint="eastAsia" w:ascii="仿宋" w:hAnsi="仿宋" w:eastAsia="仿宋" w:cs="宋体"/>
          <w:snapToGrid w:val="0"/>
          <w:color w:val="000000"/>
          <w:kern w:val="0"/>
          <w:sz w:val="28"/>
          <w:szCs w:val="28"/>
          <w:lang w:val="en-US" w:eastAsia="en-US" w:bidi="ar-SA"/>
        </w:rPr>
        <w:t>年，本项目按照绩效目标要求积极开展绩效目标自评工作，并运用评价结果运用到实际工作，加强绩效管理，厉行节约原则，较好的完成了年度工作目标。</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559" w:leftChars="266" w:firstLine="0" w:firstLineChars="0"/>
        <w:textAlignment w:val="baseline"/>
        <w:outlineLvl w:val="0"/>
        <w:rPr>
          <w:rFonts w:hint="eastAsia" w:ascii="仿宋" w:hAnsi="仿宋" w:eastAsia="仿宋" w:cs="宋体"/>
          <w:snapToGrid w:val="0"/>
          <w:color w:val="000000"/>
          <w:kern w:val="0"/>
          <w:sz w:val="28"/>
          <w:szCs w:val="28"/>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0" w:firstLineChars="200"/>
        <w:textAlignment w:val="baseline"/>
        <w:outlineLvl w:val="0"/>
        <w:rPr>
          <w:rFonts w:hint="eastAsia" w:eastAsia="仿宋_GB2312"/>
          <w:kern w:val="0"/>
          <w:sz w:val="32"/>
          <w:szCs w:val="32"/>
          <w:lang w:eastAsia="zh-CN"/>
        </w:rPr>
      </w:pPr>
      <w:r>
        <w:rPr>
          <w:rFonts w:hint="eastAsia" w:ascii="仿宋" w:hAnsi="仿宋" w:eastAsia="仿宋" w:cs="宋体"/>
          <w:snapToGrid w:val="0"/>
          <w:color w:val="000000"/>
          <w:kern w:val="0"/>
          <w:sz w:val="28"/>
          <w:szCs w:val="28"/>
          <w:lang w:val="en-US" w:eastAsia="en-US" w:bidi="ar-SA"/>
        </w:rPr>
        <w:t>在项目资金的申报、批复及预算调整上，我们严格按程序办理，资金申报上，严格报送审批程序，保证并监管资金落实。</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0" w:firstLineChars="200"/>
        <w:textAlignment w:val="baseline"/>
        <w:outlineLvl w:val="0"/>
        <w:rPr>
          <w:rFonts w:hint="eastAsia" w:eastAsia="仿宋_GB2312"/>
          <w:kern w:val="0"/>
          <w:sz w:val="32"/>
          <w:szCs w:val="32"/>
          <w:lang w:eastAsia="zh-CN"/>
        </w:rPr>
      </w:pPr>
      <w:r>
        <w:rPr>
          <w:rFonts w:hint="eastAsia" w:ascii="仿宋" w:hAnsi="仿宋" w:eastAsia="仿宋" w:cs="宋体"/>
          <w:snapToGrid w:val="0"/>
          <w:color w:val="000000"/>
          <w:kern w:val="0"/>
          <w:sz w:val="28"/>
          <w:szCs w:val="28"/>
          <w:lang w:val="en-US" w:eastAsia="en-US" w:bidi="ar-SA"/>
        </w:rPr>
        <w:t>严格督促项目实施和资金使用，切实发挥好财政资金使用效益，确保财政资金使用依法、规范、安全、高效。</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0" w:firstLineChars="200"/>
        <w:textAlignment w:val="baseline"/>
        <w:outlineLvl w:val="0"/>
        <w:rPr>
          <w:rFonts w:hint="eastAsia" w:ascii="仿宋" w:hAnsi="仿宋" w:eastAsia="仿宋" w:cs="宋体"/>
          <w:snapToGrid w:val="0"/>
          <w:color w:val="000000"/>
          <w:kern w:val="0"/>
          <w:sz w:val="28"/>
          <w:szCs w:val="28"/>
          <w:lang w:val="en-US" w:eastAsia="zh-CN" w:bidi="ar-SA"/>
        </w:rPr>
      </w:pPr>
      <w:r>
        <w:rPr>
          <w:rFonts w:hint="eastAsia" w:ascii="仿宋" w:hAnsi="仿宋" w:eastAsia="仿宋" w:cs="宋体"/>
          <w:snapToGrid w:val="0"/>
          <w:color w:val="000000"/>
          <w:kern w:val="0"/>
          <w:sz w:val="28"/>
          <w:szCs w:val="28"/>
          <w:lang w:val="en-US" w:eastAsia="en-US" w:bidi="ar-SA"/>
        </w:rPr>
        <w:t xml:space="preserve"> 完成了目标任务，保障了</w:t>
      </w:r>
      <w:r>
        <w:rPr>
          <w:rFonts w:hint="eastAsia" w:ascii="仿宋" w:hAnsi="仿宋" w:eastAsia="仿宋" w:cs="宋体"/>
          <w:snapToGrid w:val="0"/>
          <w:color w:val="000000"/>
          <w:kern w:val="0"/>
          <w:sz w:val="28"/>
          <w:szCs w:val="28"/>
          <w:lang w:val="en-US" w:eastAsia="zh-CN" w:bidi="ar-SA"/>
        </w:rPr>
        <w:t>统战部各项</w:t>
      </w:r>
      <w:r>
        <w:rPr>
          <w:rFonts w:hint="eastAsia" w:ascii="仿宋" w:hAnsi="仿宋" w:eastAsia="仿宋" w:cs="宋体"/>
          <w:snapToGrid w:val="0"/>
          <w:color w:val="000000"/>
          <w:kern w:val="0"/>
          <w:sz w:val="28"/>
          <w:szCs w:val="28"/>
          <w:lang w:val="en-US" w:eastAsia="en-US" w:bidi="ar-SA"/>
        </w:rPr>
        <w:t>专项工作有序开展，保障了社会稳定和谐。</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0" w:firstLineChars="200"/>
        <w:textAlignment w:val="baseline"/>
        <w:outlineLvl w:val="0"/>
        <w:rPr>
          <w:rFonts w:hint="eastAsia" w:ascii="仿宋" w:hAnsi="仿宋" w:eastAsia="仿宋" w:cs="宋体"/>
          <w:snapToGrid w:val="0"/>
          <w:color w:val="000000"/>
          <w:kern w:val="0"/>
          <w:sz w:val="28"/>
          <w:szCs w:val="28"/>
          <w:lang w:val="en-US" w:eastAsia="en-US" w:bidi="ar-SA"/>
        </w:rPr>
      </w:pPr>
      <w:r>
        <w:rPr>
          <w:rFonts w:hint="eastAsia" w:ascii="仿宋" w:hAnsi="仿宋" w:eastAsia="仿宋" w:cs="宋体"/>
          <w:snapToGrid w:val="0"/>
          <w:color w:val="000000"/>
          <w:kern w:val="0"/>
          <w:sz w:val="28"/>
          <w:szCs w:val="28"/>
          <w:lang w:val="en-US" w:eastAsia="en-US" w:bidi="ar-SA"/>
        </w:rPr>
        <w:t>专项资金落实到位，促进了社会和谐稳定，群众满意度逐步提高。</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0" w:firstLineChars="200"/>
        <w:textAlignment w:val="baseline"/>
        <w:outlineLvl w:val="0"/>
        <w:rPr>
          <w:rFonts w:hint="eastAsia" w:ascii="仿宋" w:hAnsi="仿宋" w:eastAsia="仿宋" w:cs="宋体"/>
          <w:snapToGrid w:val="0"/>
          <w:color w:val="000000"/>
          <w:kern w:val="0"/>
          <w:sz w:val="28"/>
          <w:szCs w:val="28"/>
          <w:lang w:val="en-US" w:eastAsia="en-US" w:bidi="ar-SA"/>
        </w:rPr>
      </w:pPr>
      <w:r>
        <w:rPr>
          <w:rFonts w:hint="eastAsia" w:ascii="仿宋" w:hAnsi="仿宋" w:eastAsia="仿宋" w:cs="宋体"/>
          <w:snapToGrid w:val="0"/>
          <w:color w:val="000000"/>
          <w:kern w:val="0"/>
          <w:sz w:val="28"/>
          <w:szCs w:val="28"/>
          <w:lang w:val="en-US" w:eastAsia="en-US" w:bidi="ar-SA"/>
        </w:rPr>
        <w:t>虽然财政资金使用规范，但也还存在可用财力偏小，不能满足日益增长的统战工作需要，资金支出的绩效评价还有待加强等问题。</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0" w:firstLineChars="200"/>
        <w:textAlignment w:val="baseline"/>
        <w:outlineLvl w:val="0"/>
        <w:rPr>
          <w:rFonts w:ascii="黑体" w:hAnsi="黑体" w:eastAsia="黑体" w:cs="黑体"/>
          <w:b/>
          <w:bCs/>
          <w:spacing w:val="-15"/>
          <w:sz w:val="31"/>
          <w:szCs w:val="31"/>
        </w:rPr>
      </w:pPr>
      <w:r>
        <w:rPr>
          <w:rFonts w:hint="eastAsia" w:ascii="仿宋" w:hAnsi="仿宋" w:eastAsia="仿宋" w:cs="宋体"/>
          <w:snapToGrid w:val="0"/>
          <w:color w:val="000000"/>
          <w:kern w:val="0"/>
          <w:sz w:val="28"/>
          <w:szCs w:val="28"/>
          <w:lang w:val="en-US" w:eastAsia="en-US" w:bidi="ar-SA"/>
        </w:rPr>
        <w:t>今后，我单位将完善预算绩效管理相关制度，加强项目管理，不断提高预算项目绩效目标设置的科学性，并加大绩效运行监控的力度，及时调整绩效目标设定的偏差，客观公正对绩效结果进行评价，对绩效结果出现的问题及时整改，切实提高项目预算资金的管理水平和能力。同时多措并举，增强对专项工作的经费支持。</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600" w:lineRule="atLeas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atLeast"/>
        <w:textAlignment w:val="baseline"/>
        <w:outlineLvl w:val="0"/>
        <w:rPr>
          <w:rFonts w:hint="default" w:ascii="仿宋" w:hAnsi="仿宋" w:eastAsia="仿宋" w:cs="宋体"/>
          <w:snapToGrid w:val="0"/>
          <w:color w:val="000000"/>
          <w:kern w:val="0"/>
          <w:sz w:val="28"/>
          <w:szCs w:val="28"/>
          <w:lang w:val="en-US" w:eastAsia="zh-CN" w:bidi="ar-SA"/>
        </w:rPr>
      </w:pPr>
      <w:r>
        <w:rPr>
          <w:rFonts w:hint="eastAsia" w:ascii="黑体" w:hAnsi="黑体" w:eastAsia="黑体" w:cs="黑体"/>
          <w:b/>
          <w:bCs/>
          <w:spacing w:val="-15"/>
          <w:sz w:val="31"/>
          <w:szCs w:val="31"/>
          <w:lang w:val="en-US" w:eastAsia="zh-CN"/>
        </w:rPr>
        <w:t xml:space="preserve">     </w:t>
      </w:r>
      <w:r>
        <w:rPr>
          <w:rFonts w:hint="eastAsia" w:ascii="仿宋" w:hAnsi="仿宋" w:eastAsia="仿宋" w:cs="宋体"/>
          <w:snapToGrid w:val="0"/>
          <w:color w:val="000000"/>
          <w:kern w:val="0"/>
          <w:sz w:val="28"/>
          <w:szCs w:val="28"/>
          <w:lang w:val="en-US" w:eastAsia="zh-CN" w:bidi="ar-SA"/>
        </w:rPr>
        <w:t xml:space="preserve"> 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3468"/>
    <w:multiLevelType w:val="singleLevel"/>
    <w:tmpl w:val="AC2D3468"/>
    <w:lvl w:ilvl="0" w:tentative="0">
      <w:start w:val="1"/>
      <w:numFmt w:val="chineseCounting"/>
      <w:suff w:val="nothing"/>
      <w:lvlText w:val="%1、"/>
      <w:lvlJc w:val="left"/>
      <w:rPr>
        <w:rFonts w:hint="eastAsia"/>
      </w:rPr>
    </w:lvl>
  </w:abstractNum>
  <w:abstractNum w:abstractNumId="1">
    <w:nsid w:val="DDA3852A"/>
    <w:multiLevelType w:val="singleLevel"/>
    <w:tmpl w:val="DDA3852A"/>
    <w:lvl w:ilvl="0" w:tentative="0">
      <w:start w:val="2"/>
      <w:numFmt w:val="chineseCounting"/>
      <w:suff w:val="nothing"/>
      <w:lvlText w:val="（%1）"/>
      <w:lvlJc w:val="left"/>
      <w:rPr>
        <w:rFonts w:hint="eastAsia"/>
      </w:rPr>
    </w:lvl>
  </w:abstractNum>
  <w:abstractNum w:abstractNumId="2">
    <w:nsid w:val="1FE9A0D4"/>
    <w:multiLevelType w:val="singleLevel"/>
    <w:tmpl w:val="1FE9A0D4"/>
    <w:lvl w:ilvl="0" w:tentative="0">
      <w:start w:val="4"/>
      <w:numFmt w:val="chineseCounting"/>
      <w:suff w:val="nothing"/>
      <w:lvlText w:val="%1、"/>
      <w:lvlJc w:val="left"/>
      <w:rPr>
        <w:rFonts w:hint="eastAsia"/>
      </w:rPr>
    </w:lvl>
  </w:abstractNum>
  <w:abstractNum w:abstractNumId="3">
    <w:nsid w:val="4302150D"/>
    <w:multiLevelType w:val="singleLevel"/>
    <w:tmpl w:val="4302150D"/>
    <w:lvl w:ilvl="0" w:tentative="0">
      <w:start w:val="7"/>
      <w:numFmt w:val="chineseCounting"/>
      <w:suff w:val="nothing"/>
      <w:lvlText w:val="%1、"/>
      <w:lvlJc w:val="left"/>
      <w:rPr>
        <w:rFonts w:hint="eastAsia"/>
      </w:rPr>
    </w:lvl>
  </w:abstractNum>
  <w:abstractNum w:abstractNumId="4">
    <w:nsid w:val="528A95A9"/>
    <w:multiLevelType w:val="singleLevel"/>
    <w:tmpl w:val="528A95A9"/>
    <w:lvl w:ilvl="0" w:tentative="0">
      <w:start w:val="2"/>
      <w:numFmt w:val="decimal"/>
      <w:suff w:val="nothing"/>
      <w:lvlText w:val="%1、"/>
      <w:lvlJc w:val="left"/>
      <w:pPr>
        <w:ind w:left="700" w:leftChars="0" w:firstLine="0" w:firstLineChars="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Y1YmE5OGZmYTBiY2EyMjBlN2FmM2RiMjVlYjY4NjAifQ=="/>
    <w:docVar w:name="KSO_WPS_MARK_KEY" w:val="6d630087-3cf7-415f-bb37-510c821e5f38"/>
  </w:docVars>
  <w:rsids>
    <w:rsidRoot w:val="00000000"/>
    <w:rsid w:val="00A638D5"/>
    <w:rsid w:val="00AA3CEC"/>
    <w:rsid w:val="01022E9F"/>
    <w:rsid w:val="01AF3811"/>
    <w:rsid w:val="01FE1869"/>
    <w:rsid w:val="02C30C76"/>
    <w:rsid w:val="034C1F2A"/>
    <w:rsid w:val="03795BF7"/>
    <w:rsid w:val="040C75CD"/>
    <w:rsid w:val="051931EE"/>
    <w:rsid w:val="05A4595D"/>
    <w:rsid w:val="07391925"/>
    <w:rsid w:val="080A588D"/>
    <w:rsid w:val="086E756B"/>
    <w:rsid w:val="09535278"/>
    <w:rsid w:val="0A410AF1"/>
    <w:rsid w:val="0ACF37E5"/>
    <w:rsid w:val="0B400BC6"/>
    <w:rsid w:val="0B6F1C37"/>
    <w:rsid w:val="0E02188C"/>
    <w:rsid w:val="0E68228D"/>
    <w:rsid w:val="0EB63656"/>
    <w:rsid w:val="0F201CE5"/>
    <w:rsid w:val="0F5F30F9"/>
    <w:rsid w:val="10341683"/>
    <w:rsid w:val="111F7DDE"/>
    <w:rsid w:val="11BE7A03"/>
    <w:rsid w:val="12370063"/>
    <w:rsid w:val="129906A9"/>
    <w:rsid w:val="12A55086"/>
    <w:rsid w:val="13347445"/>
    <w:rsid w:val="14B72599"/>
    <w:rsid w:val="15276E52"/>
    <w:rsid w:val="184D1818"/>
    <w:rsid w:val="19D32FBC"/>
    <w:rsid w:val="1B970068"/>
    <w:rsid w:val="1BAF48EB"/>
    <w:rsid w:val="1C384847"/>
    <w:rsid w:val="1C4F042B"/>
    <w:rsid w:val="1C6D5187"/>
    <w:rsid w:val="1C7A2600"/>
    <w:rsid w:val="1D282217"/>
    <w:rsid w:val="1E6A4395"/>
    <w:rsid w:val="1F6076E0"/>
    <w:rsid w:val="1F9E2B2C"/>
    <w:rsid w:val="21295BFA"/>
    <w:rsid w:val="216022F0"/>
    <w:rsid w:val="21B05C8B"/>
    <w:rsid w:val="25557A3D"/>
    <w:rsid w:val="25982BAC"/>
    <w:rsid w:val="26EA5ED7"/>
    <w:rsid w:val="27A93B82"/>
    <w:rsid w:val="27D06A3E"/>
    <w:rsid w:val="28746246"/>
    <w:rsid w:val="2AE00186"/>
    <w:rsid w:val="2C32224A"/>
    <w:rsid w:val="2C5936C8"/>
    <w:rsid w:val="2C972AC7"/>
    <w:rsid w:val="2C9F0A56"/>
    <w:rsid w:val="2ED677CB"/>
    <w:rsid w:val="2FB341F8"/>
    <w:rsid w:val="308216BE"/>
    <w:rsid w:val="32C97D46"/>
    <w:rsid w:val="32E62244"/>
    <w:rsid w:val="33B271F9"/>
    <w:rsid w:val="33C669ED"/>
    <w:rsid w:val="34FE1149"/>
    <w:rsid w:val="35384DBC"/>
    <w:rsid w:val="354558AD"/>
    <w:rsid w:val="389E342F"/>
    <w:rsid w:val="3A550786"/>
    <w:rsid w:val="3B7A130F"/>
    <w:rsid w:val="3C174D4B"/>
    <w:rsid w:val="3D962926"/>
    <w:rsid w:val="3E3F4D6C"/>
    <w:rsid w:val="3FFE7BEC"/>
    <w:rsid w:val="40B414F2"/>
    <w:rsid w:val="420074A8"/>
    <w:rsid w:val="43D50604"/>
    <w:rsid w:val="447F0F3B"/>
    <w:rsid w:val="454315E6"/>
    <w:rsid w:val="47282841"/>
    <w:rsid w:val="479853D0"/>
    <w:rsid w:val="47E30E5E"/>
    <w:rsid w:val="47F843B7"/>
    <w:rsid w:val="4A620BCC"/>
    <w:rsid w:val="4AF31B98"/>
    <w:rsid w:val="4B441334"/>
    <w:rsid w:val="4BFC24EE"/>
    <w:rsid w:val="4C274FDD"/>
    <w:rsid w:val="4DA222A3"/>
    <w:rsid w:val="4E4C72F2"/>
    <w:rsid w:val="4F8B6063"/>
    <w:rsid w:val="52434DCC"/>
    <w:rsid w:val="52BE6F51"/>
    <w:rsid w:val="52FA3F96"/>
    <w:rsid w:val="537D7A22"/>
    <w:rsid w:val="53F32429"/>
    <w:rsid w:val="53FF2B7C"/>
    <w:rsid w:val="552F7491"/>
    <w:rsid w:val="553A59FA"/>
    <w:rsid w:val="55850F17"/>
    <w:rsid w:val="56211ED9"/>
    <w:rsid w:val="56337475"/>
    <w:rsid w:val="56D43EA0"/>
    <w:rsid w:val="57AE6D93"/>
    <w:rsid w:val="57CC58BD"/>
    <w:rsid w:val="58E14F7F"/>
    <w:rsid w:val="598E6F4F"/>
    <w:rsid w:val="59F70D3E"/>
    <w:rsid w:val="5A1B43FA"/>
    <w:rsid w:val="5A4E51C5"/>
    <w:rsid w:val="5C6043D4"/>
    <w:rsid w:val="5D3D300B"/>
    <w:rsid w:val="5E710B1A"/>
    <w:rsid w:val="5F2931A3"/>
    <w:rsid w:val="5FA76F6D"/>
    <w:rsid w:val="5FB623A7"/>
    <w:rsid w:val="60DB1C99"/>
    <w:rsid w:val="61A74D6C"/>
    <w:rsid w:val="62B64D4D"/>
    <w:rsid w:val="63B219B9"/>
    <w:rsid w:val="642E7ABD"/>
    <w:rsid w:val="64410F8F"/>
    <w:rsid w:val="64C37BF6"/>
    <w:rsid w:val="64F3678D"/>
    <w:rsid w:val="6562740E"/>
    <w:rsid w:val="67FD51CC"/>
    <w:rsid w:val="6A09132A"/>
    <w:rsid w:val="6A8906A8"/>
    <w:rsid w:val="6E3851B0"/>
    <w:rsid w:val="6EB34837"/>
    <w:rsid w:val="71FB43B2"/>
    <w:rsid w:val="72837D40"/>
    <w:rsid w:val="72BA0B6E"/>
    <w:rsid w:val="72C84C17"/>
    <w:rsid w:val="73C372CA"/>
    <w:rsid w:val="75CF0611"/>
    <w:rsid w:val="76E5188A"/>
    <w:rsid w:val="77B04754"/>
    <w:rsid w:val="795F1843"/>
    <w:rsid w:val="7986227C"/>
    <w:rsid w:val="79A4194C"/>
    <w:rsid w:val="79B9661A"/>
    <w:rsid w:val="7A9F7BE5"/>
    <w:rsid w:val="7CC24F84"/>
    <w:rsid w:val="7ECF1219"/>
    <w:rsid w:val="7ED67756"/>
    <w:rsid w:val="7EDB7B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styleId="9">
    <w:name w:val="List Paragraph"/>
    <w:basedOn w:val="1"/>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8178</Words>
  <Characters>8824</Characters>
  <TotalTime>5</TotalTime>
  <ScaleCrop>false</ScaleCrop>
  <LinksUpToDate>false</LinksUpToDate>
  <CharactersWithSpaces>8986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2024-07-04T00:32:00Z</cp:lastPrinted>
  <dcterms:modified xsi:type="dcterms:W3CDTF">2024-07-04T01:33:50Z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2052-11.1.0.14309</vt:lpwstr>
  </property>
  <property fmtid="{D5CDD505-2E9C-101B-9397-08002B2CF9AE}" pid="6" name="ICV">
    <vt:lpwstr>A1E9AC54BF58440288AD196632C2A254_12</vt:lpwstr>
  </property>
</Properties>
</file>