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B5" w:rsidRDefault="00DB3E69">
      <w:pPr>
        <w:pStyle w:val="a0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6A5FB5" w:rsidRDefault="00DB3E69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年度部门整体支出绩效评价基础</w:t>
      </w:r>
    </w:p>
    <w:p w:rsidR="006A5FB5" w:rsidRDefault="00DB3E69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6A5FB5" w:rsidRDefault="006A5FB5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6A5FB5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6A5FB5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60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58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96.67%</w:t>
            </w: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6A5FB5">
        <w:trPr>
          <w:trHeight w:val="369"/>
        </w:trPr>
        <w:tc>
          <w:tcPr>
            <w:tcW w:w="3271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10.18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11.6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11.6</w:t>
            </w:r>
          </w:p>
        </w:tc>
      </w:tr>
      <w:tr w:rsidR="006A5FB5">
        <w:trPr>
          <w:trHeight w:val="350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A5FB5">
        <w:trPr>
          <w:trHeight w:val="370"/>
        </w:trPr>
        <w:tc>
          <w:tcPr>
            <w:tcW w:w="3271" w:type="dxa"/>
            <w:vAlign w:val="center"/>
          </w:tcPr>
          <w:p w:rsidR="006A5FB5" w:rsidRDefault="00DB3E69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350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369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340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10.18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11.6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11.6</w:t>
            </w:r>
          </w:p>
        </w:tc>
      </w:tr>
      <w:tr w:rsidR="006A5FB5">
        <w:trPr>
          <w:trHeight w:val="350"/>
        </w:trPr>
        <w:tc>
          <w:tcPr>
            <w:tcW w:w="3271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城乡居民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医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保征收经费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150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205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205</w:t>
            </w: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打击欺诈骗保专项行动经费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</w:t>
            </w: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特殊门诊专家评审费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A5FB5">
        <w:trPr>
          <w:trHeight w:val="359"/>
        </w:trPr>
        <w:tc>
          <w:tcPr>
            <w:tcW w:w="3271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A5FB5">
        <w:trPr>
          <w:trHeight w:val="350"/>
        </w:trPr>
        <w:tc>
          <w:tcPr>
            <w:tcW w:w="3271" w:type="dxa"/>
            <w:vAlign w:val="center"/>
          </w:tcPr>
          <w:p w:rsidR="006A5FB5" w:rsidRDefault="00DB3E69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50.62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29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116.95</w:t>
            </w:r>
          </w:p>
        </w:tc>
      </w:tr>
      <w:tr w:rsidR="006A5FB5">
        <w:trPr>
          <w:trHeight w:val="350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27.16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7.54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72.98</w:t>
            </w:r>
          </w:p>
        </w:tc>
      </w:tr>
      <w:tr w:rsidR="006A5FB5">
        <w:trPr>
          <w:trHeight w:val="360"/>
        </w:trPr>
        <w:tc>
          <w:tcPr>
            <w:tcW w:w="3271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23.46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15.66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22.29</w:t>
            </w:r>
          </w:p>
        </w:tc>
      </w:tr>
      <w:tr w:rsidR="006A5FB5">
        <w:trPr>
          <w:trHeight w:val="350"/>
        </w:trPr>
        <w:tc>
          <w:tcPr>
            <w:tcW w:w="3271" w:type="dxa"/>
            <w:vAlign w:val="center"/>
          </w:tcPr>
          <w:p w:rsidR="006A5FB5" w:rsidRDefault="00DB3E69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5.8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21.68</w:t>
            </w:r>
          </w:p>
        </w:tc>
      </w:tr>
      <w:tr w:rsidR="006A5FB5">
        <w:trPr>
          <w:trHeight w:val="350"/>
        </w:trPr>
        <w:tc>
          <w:tcPr>
            <w:tcW w:w="3271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72.7</w:t>
            </w:r>
          </w:p>
        </w:tc>
        <w:tc>
          <w:tcPr>
            <w:tcW w:w="2039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73</w:t>
            </w:r>
          </w:p>
        </w:tc>
        <w:tc>
          <w:tcPr>
            <w:tcW w:w="1983" w:type="dxa"/>
            <w:gridSpan w:val="2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73</w:t>
            </w:r>
          </w:p>
        </w:tc>
      </w:tr>
      <w:tr w:rsidR="006A5FB5">
        <w:trPr>
          <w:trHeight w:val="369"/>
        </w:trPr>
        <w:tc>
          <w:tcPr>
            <w:tcW w:w="3271" w:type="dxa"/>
            <w:vAlign w:val="center"/>
          </w:tcPr>
          <w:p w:rsidR="006A5FB5" w:rsidRDefault="00DB3E69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A5FB5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6A5FB5" w:rsidRPr="00594FB7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6A5FB5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95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960" w:type="dxa"/>
            <w:vAlign w:val="center"/>
          </w:tcPr>
          <w:p w:rsidR="006A5FB5" w:rsidRDefault="006A5FB5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103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944" w:type="dxa"/>
            <w:vAlign w:val="center"/>
          </w:tcPr>
          <w:p w:rsidR="006A5FB5" w:rsidRDefault="006A5FB5">
            <w:pPr>
              <w:ind w:firstLine="420"/>
              <w:jc w:val="center"/>
            </w:pPr>
          </w:p>
        </w:tc>
      </w:tr>
      <w:tr w:rsidR="006A5FB5">
        <w:trPr>
          <w:trHeight w:val="345"/>
        </w:trPr>
        <w:tc>
          <w:tcPr>
            <w:tcW w:w="3271" w:type="dxa"/>
            <w:vAlign w:val="center"/>
          </w:tcPr>
          <w:p w:rsidR="006A5FB5" w:rsidRDefault="00DB3E69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6A5FB5" w:rsidRDefault="00DB3E69">
            <w:pPr>
              <w:tabs>
                <w:tab w:val="left" w:pos="404"/>
              </w:tabs>
              <w:ind w:firstLine="4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经费管理：加强预算编制管理，将各项收入和支出全部纳入部门预算，严格控制经费支出总额，实行综合预算管理。</w:t>
            </w:r>
          </w:p>
          <w:p w:rsidR="006A5FB5" w:rsidRDefault="00DB3E69">
            <w:pPr>
              <w:tabs>
                <w:tab w:val="left" w:pos="404"/>
              </w:tabs>
              <w:ind w:firstLine="4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公务接待：压减“三公”经费，加强公务接待管理，大力推进公务餐一件事改革，严禁同城接待，优先选择单位食堂作为接待场所，提倡“光盘行动”，坚决制止餐饮浪费行为。</w:t>
            </w:r>
          </w:p>
          <w:p w:rsidR="006A5FB5" w:rsidRDefault="00DB3E69">
            <w:pPr>
              <w:tabs>
                <w:tab w:val="left" w:pos="404"/>
              </w:tabs>
              <w:ind w:firstLine="4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办公用品使用：压减办公经费，严格办公用品采购，除应急救灾、安全管理、正常报废更换等原因外，暂停通过财政拨款资金新增购置电脑、打印机等办公设备以及办公家具。节约用电，办公多用自然光，照明选用节能灯，按需开灯，人走灯灭。</w:t>
            </w:r>
          </w:p>
          <w:p w:rsidR="006A5FB5" w:rsidRDefault="00DB3E69">
            <w:pPr>
              <w:tabs>
                <w:tab w:val="left" w:pos="404"/>
              </w:tabs>
              <w:ind w:firstLine="4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会议培训精简：加强会议培训计划管理，能不开的坚决不开，能合并的坚决合并；大力精简会议和培训，严格控制规模、人数和时间；会议培训无纸化，会场布置</w:t>
            </w:r>
            <w:proofErr w:type="gramStart"/>
            <w:r>
              <w:rPr>
                <w:rFonts w:eastAsia="宋体" w:hint="eastAsia"/>
                <w:lang w:eastAsia="zh-CN"/>
              </w:rPr>
              <w:t>极</w:t>
            </w:r>
            <w:proofErr w:type="gramEnd"/>
            <w:r>
              <w:rPr>
                <w:rFonts w:eastAsia="宋体" w:hint="eastAsia"/>
                <w:lang w:eastAsia="zh-CN"/>
              </w:rPr>
              <w:t>简风，流程精简留重点。</w:t>
            </w:r>
          </w:p>
          <w:p w:rsidR="006A5FB5" w:rsidRDefault="00DB3E69">
            <w:pPr>
              <w:tabs>
                <w:tab w:val="left" w:pos="404"/>
              </w:tabs>
              <w:ind w:firstLine="4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严控预算追加：强化预算执行刚性约束，严格按照人代会批准的预算执行，严禁单位擅自改变资金用途使用资金。</w:t>
            </w:r>
          </w:p>
          <w:p w:rsidR="006A5FB5" w:rsidRDefault="00DB3E69">
            <w:pPr>
              <w:tabs>
                <w:tab w:val="left" w:pos="404"/>
              </w:tabs>
              <w:ind w:firstLine="4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压减非重点、非刚性支出：</w:t>
            </w:r>
            <w:r>
              <w:rPr>
                <w:rFonts w:eastAsia="宋体" w:hint="eastAsia"/>
                <w:lang w:eastAsia="zh-CN"/>
              </w:rPr>
              <w:t>从严从紧用好财政资金，压减非重点、非刚性支出，特别是低效无效、标准过高的支出和非必需的项目支出。</w:t>
            </w:r>
            <w:r>
              <w:rPr>
                <w:rFonts w:eastAsia="宋体" w:hint="eastAsia"/>
                <w:lang w:eastAsia="zh-CN"/>
              </w:rPr>
              <w:tab/>
            </w:r>
          </w:p>
        </w:tc>
      </w:tr>
    </w:tbl>
    <w:p w:rsidR="006A5FB5" w:rsidRDefault="00DB3E69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6A5FB5" w:rsidRDefault="00DB3E69" w:rsidP="00594FB7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>罗庆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 w:hint="eastAsia"/>
          <w:lang w:eastAsia="zh-CN"/>
        </w:rPr>
        <w:t>2024</w:t>
      </w:r>
      <w:r>
        <w:rPr>
          <w:rFonts w:ascii="仿宋_GB2312" w:eastAsia="仿宋_GB2312" w:hAnsi="宋体" w:cs="宋体" w:hint="eastAsia"/>
          <w:lang w:eastAsia="zh-CN"/>
        </w:rPr>
        <w:t>年</w:t>
      </w:r>
      <w:r>
        <w:rPr>
          <w:rFonts w:ascii="仿宋_GB2312" w:eastAsia="仿宋_GB2312" w:hAnsi="宋体" w:cs="宋体" w:hint="eastAsia"/>
          <w:lang w:eastAsia="zh-CN"/>
        </w:rPr>
        <w:t>6</w:t>
      </w:r>
      <w:r>
        <w:rPr>
          <w:rFonts w:ascii="仿宋_GB2312" w:eastAsia="仿宋_GB2312" w:hAnsi="宋体" w:cs="宋体" w:hint="eastAsia"/>
          <w:lang w:eastAsia="zh-CN"/>
        </w:rPr>
        <w:t>月</w:t>
      </w:r>
      <w:r>
        <w:rPr>
          <w:rFonts w:ascii="仿宋_GB2312" w:eastAsia="仿宋_GB2312" w:hAnsi="宋体" w:cs="宋体" w:hint="eastAsia"/>
          <w:lang w:eastAsia="zh-CN"/>
        </w:rPr>
        <w:t>25</w:t>
      </w:r>
      <w:r>
        <w:rPr>
          <w:rFonts w:ascii="仿宋_GB2312" w:eastAsia="仿宋_GB2312" w:hAnsi="宋体" w:cs="宋体" w:hint="eastAsia"/>
          <w:lang w:eastAsia="zh-CN"/>
        </w:rPr>
        <w:t>日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>18473078900</w:t>
      </w:r>
      <w:r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单位负责人签字：</w:t>
      </w:r>
    </w:p>
    <w:p w:rsidR="006A5FB5" w:rsidRDefault="006A5FB5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6A5FB5">
          <w:footerReference w:type="even" r:id="rId7"/>
          <w:footerReference w:type="default" r:id="rId8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6A5FB5" w:rsidRDefault="00DB3E69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2</w:t>
      </w:r>
    </w:p>
    <w:p w:rsidR="006A5FB5" w:rsidRDefault="00DB3E69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6A5FB5" w:rsidRDefault="006A5FB5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6A5FB5">
        <w:trPr>
          <w:trHeight w:val="484"/>
        </w:trPr>
        <w:tc>
          <w:tcPr>
            <w:tcW w:w="1074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年初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6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执行数</w:t>
            </w:r>
            <w:proofErr w:type="spellEnd"/>
          </w:p>
        </w:tc>
        <w:tc>
          <w:tcPr>
            <w:tcW w:w="6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</w:tr>
      <w:tr w:rsidR="006A5FB5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年度资金总额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856.77</w:t>
            </w:r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35017.36</w:t>
            </w:r>
          </w:p>
        </w:tc>
        <w:tc>
          <w:tcPr>
            <w:tcW w:w="126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34916.0</w:t>
            </w:r>
            <w:r w:rsidR="00594FB7">
              <w:rPr>
                <w:rFonts w:ascii="仿宋_GB2312" w:eastAsia="仿宋_GB2312" w:hint="eastAsia"/>
                <w:lang w:eastAsia="zh-CN"/>
              </w:rPr>
              <w:t>6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6A5FB5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按收入性质分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按支出性质分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</w:tr>
      <w:tr w:rsidR="006A5FB5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34916.0</w:t>
            </w:r>
            <w:r w:rsidR="00594FB7">
              <w:rPr>
                <w:rFonts w:ascii="仿宋_GB2312" w:eastAsia="仿宋_GB2312" w:hAnsi="宋体" w:cs="宋体" w:hint="eastAsia"/>
                <w:lang w:eastAsia="zh-CN"/>
              </w:rPr>
              <w:t>6</w:t>
            </w:r>
          </w:p>
        </w:tc>
        <w:tc>
          <w:tcPr>
            <w:tcW w:w="4260" w:type="dxa"/>
            <w:gridSpan w:val="4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>
              <w:rPr>
                <w:rFonts w:ascii="仿宋_GB2312" w:eastAsia="仿宋_GB2312" w:hAnsi="宋体" w:cs="宋体" w:hint="eastAsia"/>
              </w:rPr>
              <w:t>1021.5</w:t>
            </w:r>
          </w:p>
        </w:tc>
      </w:tr>
      <w:tr w:rsidR="006A5FB5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A5FB5" w:rsidRDefault="00DB3E69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  <w:r>
              <w:rPr>
                <w:rFonts w:ascii="仿宋_GB2312" w:eastAsia="仿宋_GB2312" w:hAnsi="宋体" w:cs="宋体" w:hint="eastAsia"/>
              </w:rPr>
              <w:t>101.31</w:t>
            </w:r>
          </w:p>
        </w:tc>
        <w:tc>
          <w:tcPr>
            <w:tcW w:w="4260" w:type="dxa"/>
            <w:gridSpan w:val="4"/>
            <w:vAlign w:val="center"/>
          </w:tcPr>
          <w:p w:rsidR="006A5FB5" w:rsidRDefault="00DB3E69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>
              <w:rPr>
                <w:rFonts w:ascii="仿宋_GB2312" w:eastAsia="仿宋_GB2312" w:hAnsi="宋体" w:cs="宋体" w:hint="eastAsia"/>
              </w:rPr>
              <w:t>33995.8</w:t>
            </w:r>
            <w:r w:rsidR="00594FB7"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</w:tr>
      <w:tr w:rsidR="006A5FB5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A5FB5" w:rsidRDefault="00DB3E69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6A5FB5" w:rsidRDefault="006A5FB5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6A5FB5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A5FB5" w:rsidRDefault="00DB3E69">
            <w:pPr>
              <w:ind w:firstLineChars="500" w:firstLine="105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目标</w:t>
            </w:r>
            <w:proofErr w:type="spellEnd"/>
          </w:p>
        </w:tc>
        <w:tc>
          <w:tcPr>
            <w:tcW w:w="4645" w:type="dxa"/>
            <w:gridSpan w:val="4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260" w:type="dxa"/>
            <w:gridSpan w:val="4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6A5FB5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贯彻执行上级医疗保障制度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监督管理各项医疗保障基金</w:t>
            </w:r>
            <w:r>
              <w:rPr>
                <w:rFonts w:ascii="仿宋_GB2312" w:eastAsia="仿宋_GB2312" w:hint="eastAsia"/>
                <w:lang w:eastAsia="zh-CN"/>
              </w:rPr>
              <w:t>,</w:t>
            </w:r>
            <w:r>
              <w:rPr>
                <w:rFonts w:ascii="仿宋_GB2312" w:eastAsia="仿宋_GB2312" w:hint="eastAsia"/>
                <w:lang w:eastAsia="zh-CN"/>
              </w:rPr>
              <w:t>建立健全医疗保障基金安全防控机制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推进医疗保障基金支付方式改革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执行国家和省城乡医疗救助和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医保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扶贫政策，负责全市医疗救助和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医保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扶贫政策的制定、监督、实施工作</w:t>
            </w:r>
          </w:p>
        </w:tc>
        <w:tc>
          <w:tcPr>
            <w:tcW w:w="4260" w:type="dxa"/>
            <w:gridSpan w:val="4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int="eastAsia"/>
                <w:lang w:eastAsia="zh-CN"/>
              </w:rPr>
              <w:t>、党建工作规范有序开展。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医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保基金运行稳定，抗风险能力强。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  <w:lang w:eastAsia="zh-CN"/>
              </w:rPr>
              <w:t>、医疗保障待遇逐步提高。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</w:t>
            </w:r>
            <w:r>
              <w:rPr>
                <w:rFonts w:ascii="仿宋_GB2312" w:eastAsia="仿宋_GB2312" w:hint="eastAsia"/>
                <w:lang w:eastAsia="zh-CN"/>
              </w:rPr>
              <w:t>、全面深化改革工作开展有序。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  <w:r>
              <w:rPr>
                <w:rFonts w:ascii="仿宋_GB2312" w:eastAsia="仿宋_GB2312" w:hint="eastAsia"/>
                <w:lang w:eastAsia="zh-CN"/>
              </w:rPr>
              <w:t>、打击欺诈骗保专项行动深入开展。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</w:t>
            </w:r>
            <w:r>
              <w:rPr>
                <w:rFonts w:ascii="仿宋_GB2312" w:eastAsia="仿宋_GB2312" w:hint="eastAsia"/>
                <w:lang w:eastAsia="zh-CN"/>
              </w:rPr>
              <w:t>、“最多跑一次”改革落地生根。</w:t>
            </w:r>
          </w:p>
          <w:p w:rsidR="006A5FB5" w:rsidRDefault="00DB3E6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</w:t>
            </w:r>
            <w:r>
              <w:rPr>
                <w:rFonts w:ascii="仿宋_GB2312" w:eastAsia="仿宋_GB2312" w:hint="eastAsia"/>
                <w:lang w:eastAsia="zh-CN"/>
              </w:rPr>
              <w:t>、行业扶贫成效显著。</w:t>
            </w:r>
          </w:p>
        </w:tc>
      </w:tr>
      <w:tr w:rsidR="006A5FB5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6A5FB5" w:rsidRDefault="00DB3E6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6A5F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参保覆盖率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90%</w:t>
            </w:r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Chars="200"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完成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政策落实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待遇保障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全年度</w:t>
            </w:r>
            <w:proofErr w:type="spellEnd"/>
          </w:p>
        </w:tc>
        <w:tc>
          <w:tcPr>
            <w:tcW w:w="1269" w:type="dxa"/>
            <w:vAlign w:val="center"/>
          </w:tcPr>
          <w:p w:rsidR="006A5FB5" w:rsidRDefault="00DB3E69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全</w:t>
            </w:r>
            <w:proofErr w:type="spellStart"/>
            <w:r>
              <w:rPr>
                <w:rFonts w:ascii="仿宋_GB2312" w:eastAsia="仿宋_GB2312" w:hint="eastAsia"/>
              </w:rPr>
              <w:t>年度保障</w:t>
            </w:r>
            <w:proofErr w:type="spellEnd"/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39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缴费到位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征缴额</w:t>
            </w:r>
            <w:proofErr w:type="spellEnd"/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3.05</w:t>
            </w:r>
            <w:r>
              <w:rPr>
                <w:rFonts w:ascii="仿宋_GB2312" w:eastAsia="仿宋_GB2312" w:hint="eastAsia"/>
                <w:lang w:eastAsia="zh-CN"/>
              </w:rPr>
              <w:t>亿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 xml:space="preserve">10 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参保人员满意度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95%</w:t>
            </w:r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大于</w:t>
            </w:r>
            <w:r>
              <w:rPr>
                <w:rFonts w:ascii="仿宋_GB2312" w:eastAsia="仿宋_GB2312" w:hint="eastAsia"/>
                <w:lang w:eastAsia="zh-CN"/>
              </w:rPr>
              <w:t>95%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维持民生稳定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稳定</w:t>
            </w:r>
            <w:proofErr w:type="spellEnd"/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稳定</w:t>
            </w:r>
            <w:proofErr w:type="spellEnd"/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医保基金稳定运行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稳定</w:t>
            </w:r>
            <w:proofErr w:type="spellEnd"/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稳定</w:t>
            </w:r>
            <w:proofErr w:type="spellEnd"/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vAlign w:val="center"/>
          </w:tcPr>
          <w:p w:rsidR="006A5FB5" w:rsidRDefault="00DB3E69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群众满意度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95%</w:t>
            </w:r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大于</w:t>
            </w:r>
            <w:r>
              <w:rPr>
                <w:rFonts w:ascii="仿宋_GB2312" w:eastAsia="仿宋_GB2312" w:hint="eastAsia"/>
                <w:lang w:eastAsia="zh-CN"/>
              </w:rPr>
              <w:t>95%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6A5FB5" w:rsidRDefault="00DB3E6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全年支出数</w:t>
            </w:r>
            <w:proofErr w:type="spellEnd"/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全年预算</w:t>
            </w:r>
            <w:proofErr w:type="spellEnd"/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未超支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6A5FB5">
        <w:trPr>
          <w:trHeight w:val="339"/>
        </w:trPr>
        <w:tc>
          <w:tcPr>
            <w:tcW w:w="6988" w:type="dxa"/>
            <w:gridSpan w:val="6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6A5FB5" w:rsidRDefault="00DB3E69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 xml:space="preserve">     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6A5FB5" w:rsidRDefault="00DB3E69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3</w:t>
      </w:r>
    </w:p>
    <w:p w:rsidR="006A5FB5" w:rsidRDefault="00DB3E69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6A5FB5" w:rsidRDefault="006A5FB5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6A5FB5">
        <w:trPr>
          <w:trHeight w:val="514"/>
          <w:jc w:val="center"/>
        </w:trPr>
        <w:tc>
          <w:tcPr>
            <w:tcW w:w="1054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城乡居民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医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保征收经费</w:t>
            </w: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汨罗市医疗保障局</w:t>
            </w:r>
          </w:p>
        </w:tc>
      </w:tr>
      <w:tr w:rsidR="006A5FB5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项目资金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205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205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205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205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205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205</w:t>
            </w: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6A5FB5" w:rsidRDefault="00DB3E69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6A5FB5" w:rsidRDefault="00DB3E69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参保缴费</w:t>
            </w:r>
            <w:r>
              <w:rPr>
                <w:rFonts w:ascii="仿宋_GB2312" w:eastAsia="仿宋_GB2312" w:hAnsi="宋体" w:cs="宋体" w:hint="eastAsia"/>
              </w:rPr>
              <w:t>95%</w:t>
            </w:r>
            <w:r>
              <w:rPr>
                <w:rFonts w:ascii="仿宋_GB2312" w:eastAsia="仿宋_GB2312" w:hAnsi="宋体" w:cs="宋体" w:hint="eastAsia"/>
              </w:rPr>
              <w:t>到位</w:t>
            </w:r>
          </w:p>
        </w:tc>
        <w:tc>
          <w:tcPr>
            <w:tcW w:w="4140" w:type="dxa"/>
            <w:gridSpan w:val="4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完成任务</w:t>
            </w:r>
          </w:p>
        </w:tc>
      </w:tr>
      <w:tr w:rsidR="006A5FB5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218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80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4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383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参保数量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</w:t>
            </w:r>
            <w:r>
              <w:rPr>
                <w:rFonts w:ascii="仿宋_GB2312" w:eastAsia="仿宋_GB2312" w:hAnsi="宋体" w:cs="宋体" w:hint="eastAsia"/>
              </w:rPr>
              <w:t>万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大于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55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参保缴费率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95%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Chars="100" w:firstLine="21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大于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95%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年度补助到位率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Chars="200" w:firstLine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100%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Chars="200" w:firstLine="420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征缴额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Chars="100" w:firstLine="210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征缴额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Chars="200"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3.05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亿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参保人员满意度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Chars="200"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维持民生稳定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稳定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稳定</w:t>
            </w:r>
            <w:proofErr w:type="spellEnd"/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参保积极性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显著提升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jc w:val="both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显著提升</w:t>
            </w:r>
            <w:proofErr w:type="spellEnd"/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群众满意度</w:t>
            </w:r>
            <w:proofErr w:type="spellEnd"/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100%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100%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合理节约使用征收经费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205</w:t>
            </w:r>
            <w:r>
              <w:rPr>
                <w:rFonts w:ascii="仿宋_GB2312" w:eastAsia="仿宋_GB2312" w:hAnsi="宋体" w:cs="宋体" w:hint="eastAsia"/>
              </w:rPr>
              <w:t>万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未超过</w:t>
            </w:r>
            <w:r>
              <w:rPr>
                <w:rFonts w:ascii="仿宋_GB2312" w:eastAsia="仿宋_GB2312" w:hAnsi="宋体" w:cs="宋体" w:hint="eastAsia"/>
              </w:rPr>
              <w:t>205</w:t>
            </w:r>
            <w:r>
              <w:rPr>
                <w:rFonts w:ascii="仿宋_GB2312" w:eastAsia="仿宋_GB2312" w:hAnsi="宋体" w:cs="宋体" w:hint="eastAsia"/>
              </w:rPr>
              <w:t>万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6A5FB5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总分</w:t>
            </w:r>
            <w:proofErr w:type="spellEnd"/>
          </w:p>
        </w:tc>
        <w:tc>
          <w:tcPr>
            <w:tcW w:w="809" w:type="dxa"/>
            <w:vAlign w:val="center"/>
          </w:tcPr>
          <w:p w:rsidR="006A5FB5" w:rsidRDefault="00DB3E69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6A5FB5" w:rsidRDefault="00DB3E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6A5FB5" w:rsidRDefault="006A5FB5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6A5FB5" w:rsidRDefault="00DB3E69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一个</w:t>
      </w:r>
      <w:proofErr w:type="gramStart"/>
      <w:r>
        <w:rPr>
          <w:rFonts w:ascii="仿宋_GB2312" w:eastAsia="仿宋_GB2312" w:hAnsi="宋体" w:cs="宋体"/>
          <w:lang w:eastAsia="zh-CN"/>
        </w:rPr>
        <w:t>一级项目</w:t>
      </w:r>
      <w:proofErr w:type="gramEnd"/>
      <w:r>
        <w:rPr>
          <w:rFonts w:ascii="仿宋_GB2312" w:eastAsia="仿宋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</w:t>
      </w:r>
      <w:r>
        <w:rPr>
          <w:rFonts w:ascii="仿宋_GB2312" w:eastAsia="仿宋_GB2312" w:hAnsi="宋体" w:cs="宋体"/>
          <w:lang w:eastAsia="zh-CN"/>
        </w:rPr>
        <w:t>.</w:t>
      </w:r>
    </w:p>
    <w:p w:rsidR="006A5FB5" w:rsidRDefault="006A5FB5">
      <w:pPr>
        <w:ind w:firstLine="420"/>
        <w:rPr>
          <w:rFonts w:ascii="宋体" w:eastAsia="宋体" w:hAnsi="宋体" w:cs="宋体"/>
          <w:lang w:eastAsia="zh-CN"/>
        </w:rPr>
      </w:pPr>
    </w:p>
    <w:p w:rsidR="006A5FB5" w:rsidRDefault="00DB3E69">
      <w:pPr>
        <w:rPr>
          <w:rFonts w:ascii="仿宋_GB2312" w:eastAsia="仿宋_GB2312" w:hAnsi="宋体" w:cs="宋体"/>
          <w:lang w:eastAsia="zh-CN"/>
        </w:rPr>
        <w:sectPr w:rsidR="006A5FB5">
          <w:footerReference w:type="default" r:id="rId9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宋体" w:hint="eastAsia"/>
          <w:lang w:eastAsia="zh-CN"/>
        </w:rPr>
        <w:t>填表人：罗庆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>2024</w:t>
      </w:r>
      <w:r>
        <w:rPr>
          <w:rFonts w:ascii="仿宋_GB2312" w:eastAsia="仿宋_GB2312" w:hAnsi="宋体" w:cs="宋体" w:hint="eastAsia"/>
          <w:lang w:eastAsia="zh-CN"/>
        </w:rPr>
        <w:t>年</w:t>
      </w:r>
      <w:r>
        <w:rPr>
          <w:rFonts w:ascii="仿宋_GB2312" w:eastAsia="仿宋_GB2312" w:hAnsi="宋体" w:cs="宋体" w:hint="eastAsia"/>
          <w:lang w:eastAsia="zh-CN"/>
        </w:rPr>
        <w:t>6</w:t>
      </w:r>
      <w:r>
        <w:rPr>
          <w:rFonts w:ascii="仿宋_GB2312" w:eastAsia="仿宋_GB2312" w:hAnsi="宋体" w:cs="宋体" w:hint="eastAsia"/>
          <w:lang w:eastAsia="zh-CN"/>
        </w:rPr>
        <w:t>月</w:t>
      </w:r>
      <w:r>
        <w:rPr>
          <w:rFonts w:ascii="仿宋_GB2312" w:eastAsia="仿宋_GB2312" w:hAnsi="宋体" w:cs="宋体" w:hint="eastAsia"/>
          <w:lang w:eastAsia="zh-CN"/>
        </w:rPr>
        <w:t>25</w:t>
      </w:r>
      <w:r>
        <w:rPr>
          <w:rFonts w:ascii="仿宋_GB2312" w:eastAsia="仿宋_GB2312" w:hAnsi="宋体" w:cs="宋体" w:hint="eastAsia"/>
          <w:lang w:eastAsia="zh-CN"/>
        </w:rPr>
        <w:t>日</w:t>
      </w:r>
      <w:r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>18473078900</w:t>
      </w:r>
      <w:r>
        <w:rPr>
          <w:rFonts w:ascii="仿宋_GB2312" w:eastAsia="仿宋_GB2312" w:hAnsi="宋体" w:cs="宋体"/>
          <w:lang w:eastAsia="zh-CN"/>
        </w:rPr>
        <w:t xml:space="preserve">    </w:t>
      </w:r>
      <w:r>
        <w:rPr>
          <w:rFonts w:ascii="仿宋_GB2312" w:eastAsia="仿宋_GB2312" w:hAnsi="宋体" w:cs="宋体" w:hint="eastAsia"/>
          <w:lang w:eastAsia="zh-CN"/>
        </w:rPr>
        <w:t>单位负责人签字</w:t>
      </w:r>
      <w:r>
        <w:rPr>
          <w:rFonts w:ascii="仿宋_GB2312" w:eastAsia="仿宋_GB2312" w:hAnsi="宋体" w:cs="宋体" w:hint="eastAsia"/>
          <w:lang w:eastAsia="zh-CN"/>
        </w:rPr>
        <w:t>:</w:t>
      </w:r>
    </w:p>
    <w:p w:rsidR="006A5FB5" w:rsidRDefault="00DB3E69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4</w:t>
      </w:r>
    </w:p>
    <w:p w:rsidR="006A5FB5" w:rsidRDefault="006A5FB5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6A5FB5" w:rsidRDefault="006A5FB5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6A5FB5" w:rsidRDefault="00DB3E69">
      <w:pPr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医疗保障局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部门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(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单位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)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6A5FB5" w:rsidRDefault="00DB3E69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6A5FB5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6A5FB5" w:rsidRDefault="00DB3E69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(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单位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)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名称：医疗保障局</w:t>
      </w:r>
    </w:p>
    <w:p w:rsidR="006A5FB5" w:rsidRDefault="00DB3E69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2024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年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6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月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 25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6A5FB5" w:rsidRDefault="006A5FB5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A5FB5" w:rsidRDefault="006A5FB5">
      <w:pPr>
        <w:pStyle w:val="a0"/>
        <w:rPr>
          <w:lang w:eastAsia="zh-CN"/>
        </w:rPr>
      </w:pPr>
    </w:p>
    <w:p w:rsidR="006A5FB5" w:rsidRDefault="006A5FB5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A5FB5" w:rsidRDefault="006A5FB5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A5FB5" w:rsidRDefault="006A5FB5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A5FB5" w:rsidRDefault="006A5FB5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6A5FB5" w:rsidRDefault="006A5FB5">
          <w:pPr>
            <w:pStyle w:val="a0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6A5FB5" w:rsidRDefault="00DB3E69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lastRenderedPageBreak/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2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年度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医疗保障局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部</w:t>
      </w:r>
      <w:proofErr w:type="gramStart"/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门整体</w:t>
      </w:r>
      <w:proofErr w:type="gramEnd"/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支出绩效</w:t>
      </w:r>
    </w:p>
    <w:p w:rsidR="006A5FB5" w:rsidRDefault="00DB3E69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自</w:t>
      </w:r>
      <w:r>
        <w:rPr>
          <w:rFonts w:ascii="黑体" w:eastAsia="黑体" w:hAnsi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评</w:t>
      </w:r>
      <w:r>
        <w:rPr>
          <w:rFonts w:ascii="黑体" w:eastAsia="黑体" w:hAnsi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报</w:t>
      </w:r>
      <w:r>
        <w:rPr>
          <w:rFonts w:ascii="黑体" w:eastAsia="黑体" w:hAnsi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告</w:t>
      </w:r>
    </w:p>
    <w:p w:rsidR="006A5FB5" w:rsidRDefault="006A5FB5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6A5FB5" w:rsidRDefault="00DB3E69">
      <w:pPr>
        <w:numPr>
          <w:ilvl w:val="0"/>
          <w:numId w:val="1"/>
        </w:numPr>
        <w:spacing w:before="211" w:line="224" w:lineRule="auto"/>
        <w:ind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6A5FB5" w:rsidRDefault="00DB3E69">
      <w:pPr>
        <w:spacing w:before="211" w:line="224" w:lineRule="auto"/>
        <w:ind w:firstLineChars="200" w:firstLine="640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eastAsia="zh-CN"/>
        </w:rPr>
        <w:t>汨罗市医疗保障局是市政府工作部门，为正科级。贯彻落实中央、省、岳阳市委关于医疗保障工作的方针政策和决策部署，全面落实市委、市政府关于医疗保障工作的部署要求，在履行职责过程中坚持和加强党对医疗保障工作的集中统一领导。内设机构有</w:t>
      </w:r>
      <w:r>
        <w:rPr>
          <w:rFonts w:ascii="仿宋_GB2312" w:eastAsia="仿宋_GB2312" w:hAnsi="仿宋_GB2312" w:cs="Times New Roman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Times New Roman" w:hint="eastAsia"/>
          <w:sz w:val="32"/>
          <w:szCs w:val="32"/>
          <w:lang w:eastAsia="zh-CN"/>
        </w:rPr>
        <w:t>个，包括：办公室、规划财务和法规股、待遇保障股、医药服务管理股、基金监管股。</w:t>
      </w:r>
    </w:p>
    <w:p w:rsidR="006A5FB5" w:rsidRDefault="00DB3E69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6A5FB5" w:rsidRDefault="00DB3E69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6A5FB5" w:rsidRDefault="00DB3E69">
      <w:pPr>
        <w:kinsoku/>
        <w:autoSpaceDE/>
        <w:autoSpaceDN/>
        <w:adjustRightInd/>
        <w:spacing w:line="560" w:lineRule="exact"/>
        <w:ind w:firstLineChars="200" w:firstLine="640"/>
        <w:textAlignment w:val="auto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汨罗市医疗保障局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年一般公共预算财政拨款支出</w:t>
      </w:r>
      <w:r w:rsidR="001F111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35017.37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万元，其中基本支出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1021.48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万元，基本支出中人员经费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637.91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万元、日常公用经费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383.57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6A5FB5" w:rsidRDefault="00DB3E69" w:rsidP="00594FB7">
      <w:pPr>
        <w:pStyle w:val="a6"/>
        <w:numPr>
          <w:ilvl w:val="0"/>
          <w:numId w:val="2"/>
        </w:numPr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6A5FB5" w:rsidRDefault="00DB3E69">
      <w:pPr>
        <w:pStyle w:val="a6"/>
        <w:spacing w:line="600" w:lineRule="exact"/>
        <w:ind w:firstLineChars="0" w:firstLine="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汨罗市医疗保障局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年一般公共预算财政拨款支出</w:t>
      </w:r>
      <w:r w:rsidR="00B41C5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35017.37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万元，其中项目支出</w:t>
      </w:r>
      <w:r w:rsidR="00B41C5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33995.87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万元，项目支出中上级专项</w:t>
      </w:r>
      <w:r w:rsidR="00B41C5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33765.87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万元，本级专项支出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230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>
        <w:rPr>
          <w:rFonts w:ascii="仿宋_GB2312" w:eastAsia="仿宋_GB2312" w:hAnsi="仿宋_GB2312" w:cs="Times New Roman" w:hint="eastAsia"/>
          <w:color w:val="auto"/>
          <w:sz w:val="32"/>
          <w:szCs w:val="32"/>
          <w:lang w:eastAsia="zh-CN"/>
        </w:rPr>
        <w:t>其中</w:t>
      </w:r>
      <w:r>
        <w:rPr>
          <w:rFonts w:ascii="仿宋_GB2312" w:eastAsia="仿宋_GB2312" w:hAnsi="仿宋_GB2312" w:cs="Times New Roman" w:hint="eastAsia"/>
          <w:color w:val="auto"/>
          <w:sz w:val="32"/>
          <w:szCs w:val="32"/>
          <w:lang w:eastAsia="zh-CN"/>
        </w:rPr>
        <w:t>30</w:t>
      </w:r>
      <w:r>
        <w:rPr>
          <w:rFonts w:ascii="仿宋_GB2312" w:eastAsia="仿宋_GB2312" w:hAnsi="仿宋_GB2312" w:cs="Times New Roman" w:hint="eastAsia"/>
          <w:color w:val="auto"/>
          <w:sz w:val="32"/>
          <w:szCs w:val="32"/>
          <w:lang w:eastAsia="zh-CN"/>
        </w:rPr>
        <w:t>万元以上</w:t>
      </w:r>
      <w:proofErr w:type="gramStart"/>
      <w:r>
        <w:rPr>
          <w:rFonts w:ascii="仿宋_GB2312" w:eastAsia="仿宋_GB2312" w:hAnsi="仿宋_GB2312" w:cs="Times New Roman" w:hint="eastAsia"/>
          <w:color w:val="auto"/>
          <w:sz w:val="32"/>
          <w:szCs w:val="32"/>
          <w:lang w:eastAsia="zh-CN"/>
        </w:rPr>
        <w:t>专项有</w:t>
      </w:r>
      <w:proofErr w:type="gramEnd"/>
      <w:r>
        <w:rPr>
          <w:rFonts w:ascii="仿宋_GB2312" w:eastAsia="仿宋_GB2312" w:hAnsi="仿宋_GB2312" w:cs="Times New Roman" w:hint="eastAsia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Times New Roman" w:hint="eastAsia"/>
          <w:color w:val="auto"/>
          <w:sz w:val="32"/>
          <w:szCs w:val="32"/>
          <w:lang w:eastAsia="zh-CN"/>
        </w:rPr>
        <w:t>个。</w:t>
      </w:r>
    </w:p>
    <w:p w:rsidR="006A5FB5" w:rsidRDefault="00DB3E69">
      <w:pPr>
        <w:spacing w:line="600" w:lineRule="exact"/>
        <w:ind w:left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6A5FB5" w:rsidRDefault="00DB3E69">
      <w:pPr>
        <w:pStyle w:val="a6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无。</w:t>
      </w:r>
    </w:p>
    <w:p w:rsidR="006A5FB5" w:rsidRDefault="00DB3E69">
      <w:pPr>
        <w:spacing w:line="600" w:lineRule="exact"/>
        <w:ind w:left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四、国有资本经营预算支出情况</w:t>
      </w:r>
    </w:p>
    <w:p w:rsidR="006A5FB5" w:rsidRDefault="00DB3E69">
      <w:pPr>
        <w:pStyle w:val="a6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无。</w:t>
      </w:r>
    </w:p>
    <w:p w:rsidR="006A5FB5" w:rsidRDefault="00DB3E69">
      <w:pPr>
        <w:numPr>
          <w:ilvl w:val="0"/>
          <w:numId w:val="3"/>
        </w:numPr>
        <w:spacing w:line="600" w:lineRule="exact"/>
        <w:ind w:left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社会保险基金预算支出情况</w:t>
      </w:r>
    </w:p>
    <w:p w:rsidR="006A5FB5" w:rsidRDefault="00DB3E69">
      <w:pPr>
        <w:pStyle w:val="a6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无。</w:t>
      </w:r>
    </w:p>
    <w:p w:rsidR="006A5FB5" w:rsidRDefault="00DB3E69">
      <w:pPr>
        <w:numPr>
          <w:ilvl w:val="0"/>
          <w:numId w:val="3"/>
        </w:numPr>
        <w:spacing w:line="600" w:lineRule="exact"/>
        <w:ind w:left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部门整体支出绩效情况</w:t>
      </w:r>
    </w:p>
    <w:p w:rsidR="006A5FB5" w:rsidRDefault="00DB3E69">
      <w:pPr>
        <w:numPr>
          <w:ilvl w:val="0"/>
          <w:numId w:val="4"/>
        </w:num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以参保全覆盖为基础，基金规模不断提升。</w:t>
      </w:r>
      <w:r>
        <w:rPr>
          <w:rFonts w:eastAsia="仿宋_GB2312" w:hint="eastAsia"/>
          <w:sz w:val="32"/>
          <w:szCs w:val="32"/>
          <w:lang w:eastAsia="zh-CN"/>
        </w:rPr>
        <w:t>2022</w:t>
      </w:r>
      <w:r>
        <w:rPr>
          <w:rFonts w:eastAsia="仿宋_GB2312" w:hint="eastAsia"/>
          <w:sz w:val="32"/>
          <w:szCs w:val="32"/>
          <w:lang w:eastAsia="zh-CN"/>
        </w:rPr>
        <w:t>年，我市城乡居民医疗保险参保</w:t>
      </w:r>
      <w:r>
        <w:rPr>
          <w:rFonts w:eastAsia="仿宋_GB2312" w:hint="eastAsia"/>
          <w:sz w:val="32"/>
          <w:szCs w:val="32"/>
          <w:lang w:eastAsia="zh-CN"/>
        </w:rPr>
        <w:t>504871</w:t>
      </w:r>
      <w:r>
        <w:rPr>
          <w:rFonts w:eastAsia="仿宋_GB2312" w:hint="eastAsia"/>
          <w:sz w:val="32"/>
          <w:szCs w:val="32"/>
          <w:lang w:eastAsia="zh-CN"/>
        </w:rPr>
        <w:t>人，参保率达到</w:t>
      </w:r>
      <w:r>
        <w:rPr>
          <w:rFonts w:eastAsia="仿宋_GB2312" w:hint="eastAsia"/>
          <w:sz w:val="32"/>
          <w:szCs w:val="32"/>
          <w:lang w:eastAsia="zh-CN"/>
        </w:rPr>
        <w:t>98%</w:t>
      </w:r>
      <w:r>
        <w:rPr>
          <w:rFonts w:eastAsia="仿宋_GB2312" w:hint="eastAsia"/>
          <w:sz w:val="32"/>
          <w:szCs w:val="32"/>
          <w:lang w:eastAsia="zh-CN"/>
        </w:rPr>
        <w:t>，统筹收入</w:t>
      </w:r>
      <w:r>
        <w:rPr>
          <w:rFonts w:eastAsia="仿宋_GB2312" w:hint="eastAsia"/>
          <w:sz w:val="32"/>
          <w:szCs w:val="32"/>
          <w:lang w:eastAsia="zh-CN"/>
        </w:rPr>
        <w:t>3.05</w:t>
      </w:r>
      <w:r>
        <w:rPr>
          <w:rFonts w:eastAsia="仿宋_GB2312" w:hint="eastAsia"/>
          <w:sz w:val="32"/>
          <w:szCs w:val="32"/>
          <w:lang w:eastAsia="zh-CN"/>
        </w:rPr>
        <w:t>亿。完成省级下达</w:t>
      </w:r>
      <w:r>
        <w:rPr>
          <w:rFonts w:eastAsia="仿宋_GB2312" w:hint="eastAsia"/>
          <w:sz w:val="32"/>
          <w:szCs w:val="32"/>
          <w:lang w:eastAsia="zh-CN"/>
        </w:rPr>
        <w:t>95%</w:t>
      </w:r>
      <w:r>
        <w:rPr>
          <w:rFonts w:eastAsia="仿宋_GB2312" w:hint="eastAsia"/>
          <w:sz w:val="32"/>
          <w:szCs w:val="32"/>
          <w:lang w:eastAsia="zh-CN"/>
        </w:rPr>
        <w:t>以上参保目标任务。城镇职工医疗保险参保</w:t>
      </w:r>
      <w:r>
        <w:rPr>
          <w:rFonts w:eastAsia="仿宋_GB2312" w:hint="eastAsia"/>
          <w:sz w:val="32"/>
          <w:szCs w:val="32"/>
          <w:lang w:eastAsia="zh-CN"/>
        </w:rPr>
        <w:t>38160</w:t>
      </w:r>
      <w:r>
        <w:rPr>
          <w:rFonts w:eastAsia="仿宋_GB2312" w:hint="eastAsia"/>
          <w:sz w:val="32"/>
          <w:szCs w:val="32"/>
          <w:lang w:eastAsia="zh-CN"/>
        </w:rPr>
        <w:t>人，统筹收入</w:t>
      </w:r>
      <w:r>
        <w:rPr>
          <w:rFonts w:eastAsia="仿宋_GB2312" w:hint="eastAsia"/>
          <w:sz w:val="32"/>
          <w:szCs w:val="32"/>
          <w:lang w:eastAsia="zh-CN"/>
        </w:rPr>
        <w:t>8981.7</w:t>
      </w:r>
      <w:r>
        <w:rPr>
          <w:rFonts w:eastAsia="仿宋_GB2312" w:hint="eastAsia"/>
          <w:sz w:val="32"/>
          <w:szCs w:val="32"/>
          <w:lang w:eastAsia="zh-CN"/>
        </w:rPr>
        <w:t>万元，个人账户收入</w:t>
      </w:r>
      <w:r>
        <w:rPr>
          <w:rFonts w:eastAsia="仿宋_GB2312" w:hint="eastAsia"/>
          <w:sz w:val="32"/>
          <w:szCs w:val="32"/>
          <w:lang w:eastAsia="zh-CN"/>
        </w:rPr>
        <w:t>5353.6</w:t>
      </w:r>
      <w:r>
        <w:rPr>
          <w:rFonts w:eastAsia="仿宋_GB2312" w:hint="eastAsia"/>
          <w:sz w:val="32"/>
          <w:szCs w:val="32"/>
          <w:lang w:eastAsia="zh-CN"/>
        </w:rPr>
        <w:t>万元，大病互助收入</w:t>
      </w:r>
      <w:r>
        <w:rPr>
          <w:rFonts w:eastAsia="仿宋_GB2312" w:hint="eastAsia"/>
          <w:sz w:val="32"/>
          <w:szCs w:val="32"/>
          <w:lang w:eastAsia="zh-CN"/>
        </w:rPr>
        <w:t>647</w:t>
      </w:r>
      <w:r>
        <w:rPr>
          <w:rFonts w:eastAsia="仿宋_GB2312" w:hint="eastAsia"/>
          <w:sz w:val="32"/>
          <w:szCs w:val="32"/>
          <w:lang w:eastAsia="zh-CN"/>
        </w:rPr>
        <w:t>万元。</w:t>
      </w:r>
    </w:p>
    <w:p w:rsidR="006A5FB5" w:rsidRDefault="00DB3E69">
      <w:pPr>
        <w:numPr>
          <w:ilvl w:val="0"/>
          <w:numId w:val="4"/>
        </w:num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全面深化改革工作，不断提升待遇保障和服务效率。一是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保基金支付方式改革（</w:t>
      </w:r>
      <w:r>
        <w:rPr>
          <w:rFonts w:eastAsia="仿宋_GB2312" w:hint="eastAsia"/>
          <w:sz w:val="32"/>
          <w:szCs w:val="32"/>
          <w:lang w:eastAsia="zh-CN"/>
        </w:rPr>
        <w:t>DIP</w:t>
      </w:r>
      <w:r>
        <w:rPr>
          <w:rFonts w:eastAsia="仿宋_GB2312" w:hint="eastAsia"/>
          <w:sz w:val="32"/>
          <w:szCs w:val="32"/>
          <w:lang w:eastAsia="zh-CN"/>
        </w:rPr>
        <w:t>）。</w:t>
      </w:r>
      <w:r>
        <w:rPr>
          <w:rFonts w:eastAsia="仿宋_GB2312" w:hint="eastAsia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月中旬，我市召开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保基金区域点数法总额预算和按病种分值付费工作部署会，制定了工作实施方案，充分利用省局、岳阳市局</w:t>
      </w:r>
      <w:r>
        <w:rPr>
          <w:rFonts w:eastAsia="仿宋_GB2312" w:hint="eastAsia"/>
          <w:sz w:val="32"/>
          <w:szCs w:val="32"/>
          <w:lang w:eastAsia="zh-CN"/>
        </w:rPr>
        <w:t>DIP</w:t>
      </w:r>
      <w:r>
        <w:rPr>
          <w:rFonts w:eastAsia="仿宋_GB2312" w:hint="eastAsia"/>
          <w:sz w:val="32"/>
          <w:szCs w:val="32"/>
          <w:lang w:eastAsia="zh-CN"/>
        </w:rPr>
        <w:t>大数据平台技术和专业公司的服务团队优势，精准完成了第一批</w:t>
      </w:r>
      <w:r>
        <w:rPr>
          <w:rFonts w:eastAsia="仿宋_GB2312" w:hint="eastAsia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家二级医院近三年历史数据采集上报工作。</w:t>
      </w:r>
      <w:r>
        <w:rPr>
          <w:rFonts w:eastAsia="仿宋_GB2312" w:hint="eastAsia"/>
          <w:sz w:val="32"/>
          <w:szCs w:val="32"/>
          <w:lang w:eastAsia="zh-CN"/>
        </w:rPr>
        <w:t>11</w:t>
      </w:r>
      <w:r>
        <w:rPr>
          <w:rFonts w:eastAsia="仿宋_GB2312" w:hint="eastAsia"/>
          <w:sz w:val="32"/>
          <w:szCs w:val="32"/>
          <w:lang w:eastAsia="zh-CN"/>
        </w:rPr>
        <w:t>月份启动模拟试运行。推动我市二级医疗机构恶性肿瘤门诊放化疗、日间手术、精神疾病、中医药单病种等多元复合支付方式改革工作。二是实现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保经办业务全方位覆盖。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今年局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将优化经办服务作为提高真抓实干含金量的主要突破口，以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保服务“就近就便”为目标，着力实现经办网络“</w:t>
      </w:r>
      <w:r>
        <w:rPr>
          <w:rFonts w:eastAsia="仿宋_GB2312" w:hint="eastAsia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＋</w:t>
      </w:r>
      <w:r>
        <w:rPr>
          <w:rFonts w:eastAsia="仿宋_GB2312" w:hint="eastAsia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”全覆盖，即服务网络连通省、市、县、乡、村五个层级和线上线下两个维度。三是促进了线上线下融合。我局自主开发了“汨罗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保”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微信公众号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的自助服务平台，加载了异地就医备案、异地生育备案、异地安置备案功能。通过推进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保经办业务线上线下标准化、融合式办理，政务大厅现场业务受理量减少三分之二，而同期服务延伸平台受</w:t>
      </w:r>
      <w:r>
        <w:rPr>
          <w:rFonts w:eastAsia="仿宋_GB2312" w:hint="eastAsia"/>
          <w:sz w:val="32"/>
          <w:szCs w:val="32"/>
          <w:lang w:eastAsia="zh-CN"/>
        </w:rPr>
        <w:lastRenderedPageBreak/>
        <w:t>理量有较明显增加。四是提升了经办服务效率。我局政务服务窗口年初被岳阳市文明办评选为文明窗口单位，为了让这块金字招牌继续闪亮，今年正着力推进窗口服务规范化便利化</w:t>
      </w:r>
      <w:r>
        <w:rPr>
          <w:rFonts w:eastAsia="仿宋_GB2312" w:hint="eastAsia"/>
          <w:sz w:val="32"/>
          <w:szCs w:val="32"/>
          <w:lang w:eastAsia="zh-CN"/>
        </w:rPr>
        <w:t>。政务服务窗口按照《汨罗市医疗保障经办政务服务事项办事指南》，明确办事流程，全面推行一次性告知。在灵活就业人员参保、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保退休审批等领域建立跨部门信息共享机制，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实施容缺受理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。</w:t>
      </w:r>
      <w:r>
        <w:rPr>
          <w:rFonts w:eastAsia="仿宋_GB2312" w:hint="eastAsia"/>
          <w:sz w:val="32"/>
          <w:szCs w:val="32"/>
          <w:lang w:eastAsia="zh-CN"/>
        </w:rPr>
        <w:t>7</w:t>
      </w:r>
      <w:r>
        <w:rPr>
          <w:rFonts w:eastAsia="仿宋_GB2312" w:hint="eastAsia"/>
          <w:sz w:val="32"/>
          <w:szCs w:val="32"/>
          <w:lang w:eastAsia="zh-CN"/>
        </w:rPr>
        <w:t>月</w:t>
      </w:r>
      <w:r>
        <w:rPr>
          <w:rFonts w:eastAsia="仿宋_GB2312" w:hint="eastAsia"/>
          <w:sz w:val="32"/>
          <w:szCs w:val="32"/>
          <w:lang w:eastAsia="zh-CN"/>
        </w:rPr>
        <w:t>27</w:t>
      </w:r>
      <w:r>
        <w:rPr>
          <w:rFonts w:eastAsia="仿宋_GB2312" w:hint="eastAsia"/>
          <w:sz w:val="32"/>
          <w:szCs w:val="32"/>
          <w:lang w:eastAsia="zh-CN"/>
        </w:rPr>
        <w:t>日，我局在汨罗市十三届人大常委会第四次会议上的营商环境测评中以</w:t>
      </w:r>
      <w:r>
        <w:rPr>
          <w:rFonts w:eastAsia="仿宋_GB2312" w:hint="eastAsia"/>
          <w:sz w:val="32"/>
          <w:szCs w:val="32"/>
          <w:lang w:eastAsia="zh-CN"/>
        </w:rPr>
        <w:t>25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票非常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满意和</w:t>
      </w:r>
      <w:r>
        <w:rPr>
          <w:rFonts w:eastAsia="仿宋_GB2312" w:hint="eastAsia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票基本满意的成绩，排名全市并列第二。</w:t>
      </w:r>
      <w:r>
        <w:rPr>
          <w:rFonts w:eastAsia="仿宋_GB2312" w:hint="eastAsia"/>
          <w:sz w:val="32"/>
          <w:szCs w:val="32"/>
          <w:lang w:eastAsia="zh-CN"/>
        </w:rPr>
        <w:t xml:space="preserve">                                        </w:t>
      </w:r>
    </w:p>
    <w:p w:rsidR="006A5FB5" w:rsidRDefault="00DB3E69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6A5FB5" w:rsidRDefault="00DB3E69">
      <w:pPr>
        <w:kinsoku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工作经费及专项资金的使用和管理取得成效的同时，也存在一些问题，主要表现在：随着</w:t>
      </w:r>
      <w:proofErr w:type="gramStart"/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医保职能</w:t>
      </w:r>
      <w:proofErr w:type="gramEnd"/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的增加，工作范围更广，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资金不足以保障全部工作经费，经费有一定缺口。</w:t>
      </w:r>
    </w:p>
    <w:p w:rsidR="006A5FB5" w:rsidRDefault="00DB3E69">
      <w:pPr>
        <w:spacing w:line="600" w:lineRule="exact"/>
        <w:ind w:left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八、下一步改进措施</w:t>
      </w:r>
    </w:p>
    <w:p w:rsidR="006A5FB5" w:rsidRDefault="00DB3E69">
      <w:pPr>
        <w:kinsoku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）强化预算执行，提高预算完成率。</w:t>
      </w:r>
    </w:p>
    <w:p w:rsidR="006A5FB5" w:rsidRDefault="00DB3E69">
      <w:pPr>
        <w:kinsoku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）科学合理编制政府采购预算，强化政府采购预算执行，确保政府采购预算切合单位实际。</w:t>
      </w:r>
    </w:p>
    <w:p w:rsidR="006A5FB5" w:rsidRDefault="00DB3E69">
      <w:pPr>
        <w:kinsoku/>
        <w:autoSpaceDE/>
        <w:autoSpaceDN/>
        <w:adjustRightIn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3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）针对评价过程中发现的问题，加强各部门之间的沟通协调，提高工作经费保证，简化工作流程，提高工作效率，更好的服务于广大城乡居民。</w:t>
      </w:r>
    </w:p>
    <w:p w:rsidR="006A5FB5" w:rsidRDefault="00DB3E69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6A5FB5" w:rsidRDefault="00DB3E69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6A5FB5" w:rsidRDefault="00DB3E69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无。</w:t>
      </w: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6A5FB5" w:rsidRDefault="006A5FB5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A5FB5" w:rsidRDefault="006A5FB5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A5FB5" w:rsidRDefault="006A5FB5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A5FB5" w:rsidRDefault="006A5FB5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6A5FB5" w:rsidRDefault="00DB3E69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5</w:t>
      </w:r>
    </w:p>
    <w:p w:rsidR="006A5FB5" w:rsidRDefault="00DB3E69" w:rsidP="00594FB7">
      <w:pPr>
        <w:spacing w:before="201" w:line="578" w:lineRule="exact"/>
        <w:ind w:firstLineChars="300" w:firstLine="1305"/>
        <w:jc w:val="center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</w:t>
      </w:r>
      <w:r>
        <w:rPr>
          <w:rFonts w:ascii="Times New Roman" w:eastAsia="宋体" w:hAnsi="Times New Roman" w:cs="Times New Roman" w:hint="eastAsia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城乡居民</w:t>
      </w:r>
      <w:proofErr w:type="gramStart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医</w:t>
      </w:r>
      <w:proofErr w:type="gramEnd"/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保征收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</w:t>
      </w:r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目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支出</w:t>
      </w:r>
    </w:p>
    <w:p w:rsidR="006A5FB5" w:rsidRDefault="00DB3E69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6A5FB5" w:rsidRDefault="006A5FB5">
      <w:pPr>
        <w:spacing w:line="246" w:lineRule="auto"/>
        <w:rPr>
          <w:lang w:eastAsia="zh-CN"/>
        </w:rPr>
      </w:pPr>
    </w:p>
    <w:p w:rsidR="006A5FB5" w:rsidRDefault="006A5FB5">
      <w:pPr>
        <w:spacing w:line="246" w:lineRule="auto"/>
        <w:rPr>
          <w:lang w:eastAsia="zh-CN"/>
        </w:rPr>
      </w:pPr>
    </w:p>
    <w:p w:rsidR="006A5FB5" w:rsidRDefault="006A5FB5">
      <w:pPr>
        <w:spacing w:line="246" w:lineRule="auto"/>
        <w:rPr>
          <w:lang w:eastAsia="zh-CN"/>
        </w:rPr>
      </w:pPr>
    </w:p>
    <w:p w:rsidR="006A5FB5" w:rsidRDefault="006A5FB5">
      <w:pPr>
        <w:spacing w:line="246" w:lineRule="auto"/>
        <w:rPr>
          <w:lang w:eastAsia="zh-CN"/>
        </w:rPr>
      </w:pPr>
    </w:p>
    <w:p w:rsidR="006A5FB5" w:rsidRDefault="006A5FB5">
      <w:pPr>
        <w:spacing w:line="246" w:lineRule="auto"/>
        <w:rPr>
          <w:lang w:eastAsia="zh-CN"/>
        </w:rPr>
      </w:pPr>
    </w:p>
    <w:p w:rsidR="006A5FB5" w:rsidRDefault="006A5FB5">
      <w:pPr>
        <w:pStyle w:val="a0"/>
        <w:rPr>
          <w:lang w:eastAsia="zh-CN"/>
        </w:rPr>
      </w:pPr>
      <w:bookmarkStart w:id="0" w:name="_GoBack"/>
      <w:bookmarkEnd w:id="0"/>
    </w:p>
    <w:p w:rsidR="006A5FB5" w:rsidRDefault="006A5FB5">
      <w:pPr>
        <w:spacing w:line="247" w:lineRule="auto"/>
        <w:rPr>
          <w:lang w:eastAsia="zh-CN"/>
        </w:rPr>
      </w:pPr>
    </w:p>
    <w:p w:rsidR="006A5FB5" w:rsidRDefault="006A5FB5">
      <w:pPr>
        <w:spacing w:line="247" w:lineRule="auto"/>
        <w:rPr>
          <w:lang w:eastAsia="zh-CN"/>
        </w:rPr>
      </w:pPr>
    </w:p>
    <w:p w:rsidR="006A5FB5" w:rsidRDefault="006A5FB5">
      <w:pPr>
        <w:spacing w:line="247" w:lineRule="auto"/>
        <w:rPr>
          <w:lang w:eastAsia="zh-CN"/>
        </w:rPr>
      </w:pPr>
    </w:p>
    <w:p w:rsidR="006A5FB5" w:rsidRDefault="006A5FB5">
      <w:pPr>
        <w:spacing w:line="247" w:lineRule="auto"/>
        <w:rPr>
          <w:lang w:eastAsia="zh-CN"/>
        </w:rPr>
      </w:pPr>
    </w:p>
    <w:p w:rsidR="006A5FB5" w:rsidRDefault="00DB3E69">
      <w:pPr>
        <w:pStyle w:val="a4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</w:t>
      </w:r>
      <w:r>
        <w:rPr>
          <w:spacing w:val="-22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门</w:t>
      </w:r>
      <w:r>
        <w:rPr>
          <w:spacing w:val="-22"/>
          <w:sz w:val="27"/>
          <w:szCs w:val="27"/>
          <w:lang w:eastAsia="zh-CN"/>
        </w:rPr>
        <w:t xml:space="preserve"> ( </w:t>
      </w:r>
      <w:r>
        <w:rPr>
          <w:spacing w:val="-22"/>
          <w:sz w:val="27"/>
          <w:szCs w:val="27"/>
          <w:lang w:eastAsia="zh-CN"/>
        </w:rPr>
        <w:t>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</w:t>
      </w:r>
      <w:r>
        <w:rPr>
          <w:rFonts w:hint="eastAsia"/>
          <w:spacing w:val="-22"/>
          <w:sz w:val="27"/>
          <w:szCs w:val="27"/>
          <w:u w:val="single"/>
          <w:lang w:eastAsia="zh-CN"/>
        </w:rPr>
        <w:t>医疗保障局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6A5FB5" w:rsidRDefault="00DB3E69">
      <w:pPr>
        <w:pStyle w:val="a4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2024</w:t>
      </w:r>
      <w:r>
        <w:rPr>
          <w:spacing w:val="-13"/>
          <w:position w:val="26"/>
          <w:sz w:val="27"/>
          <w:szCs w:val="27"/>
          <w:lang w:eastAsia="zh-CN"/>
        </w:rPr>
        <w:t>年</w:t>
      </w:r>
      <w:r>
        <w:rPr>
          <w:spacing w:val="-13"/>
          <w:position w:val="26"/>
          <w:sz w:val="27"/>
          <w:szCs w:val="27"/>
          <w:lang w:eastAsia="zh-CN"/>
        </w:rPr>
        <w:t xml:space="preserve">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>
        <w:rPr>
          <w:spacing w:val="-13"/>
          <w:position w:val="26"/>
          <w:sz w:val="27"/>
          <w:szCs w:val="27"/>
          <w:lang w:eastAsia="zh-CN"/>
        </w:rPr>
        <w:t xml:space="preserve"> </w:t>
      </w:r>
      <w:r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spacing w:val="12"/>
          <w:position w:val="26"/>
          <w:sz w:val="27"/>
          <w:szCs w:val="27"/>
          <w:lang w:eastAsia="zh-CN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eastAsia="zh-CN"/>
        </w:rPr>
        <w:t xml:space="preserve">25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 w:rsidR="006A5FB5" w:rsidRDefault="006A5FB5">
      <w:pPr>
        <w:spacing w:line="223" w:lineRule="auto"/>
        <w:rPr>
          <w:sz w:val="24"/>
          <w:szCs w:val="24"/>
          <w:lang w:eastAsia="zh-CN"/>
        </w:rPr>
        <w:sectPr w:rsidR="006A5FB5">
          <w:footerReference w:type="default" r:id="rId10"/>
          <w:pgSz w:w="11900" w:h="16820"/>
          <w:pgMar w:top="1429" w:right="1782" w:bottom="1158" w:left="1450" w:header="0" w:footer="850" w:gutter="0"/>
          <w:cols w:space="720"/>
        </w:sectPr>
      </w:pPr>
    </w:p>
    <w:p w:rsidR="006A5FB5" w:rsidRDefault="00DB3E69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6A5FB5" w:rsidRDefault="006A5FB5">
      <w:pPr>
        <w:spacing w:before="190" w:line="227" w:lineRule="auto"/>
        <w:ind w:left="3670"/>
        <w:rPr>
          <w:rFonts w:ascii="楷体" w:eastAsia="楷体" w:hAnsi="楷体" w:cs="楷体"/>
          <w:sz w:val="31"/>
          <w:szCs w:val="31"/>
          <w:lang w:eastAsia="zh-CN"/>
        </w:rPr>
      </w:pPr>
    </w:p>
    <w:p w:rsidR="006A5FB5" w:rsidRDefault="00DB3E69" w:rsidP="00594FB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一</w:t>
      </w:r>
      <w:r>
        <w:rPr>
          <w:rFonts w:ascii="黑体" w:eastAsia="黑体" w:hAnsi="黑体" w:cs="黑体"/>
          <w:spacing w:val="-15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、</w:t>
      </w: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项目支出基本情况</w:t>
      </w:r>
      <w:proofErr w:type="spellEnd"/>
    </w:p>
    <w:p w:rsidR="006A5FB5" w:rsidRDefault="00DB3E69" w:rsidP="00594FB7">
      <w:pPr>
        <w:numPr>
          <w:ilvl w:val="0"/>
          <w:numId w:val="5"/>
        </w:num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项目支出概况</w:t>
      </w:r>
      <w:proofErr w:type="spellEnd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。</w:t>
      </w:r>
    </w:p>
    <w:p w:rsidR="006A5FB5" w:rsidRDefault="00DB3E6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 w:eastAsia="zh-CN"/>
        </w:rPr>
        <w:t>根据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汨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政办函【</w:t>
      </w:r>
      <w:r>
        <w:rPr>
          <w:rFonts w:eastAsia="仿宋_GB2312" w:hint="eastAsia"/>
          <w:sz w:val="32"/>
          <w:szCs w:val="32"/>
          <w:lang w:eastAsia="zh-CN"/>
        </w:rPr>
        <w:t>2021</w:t>
      </w:r>
      <w:r>
        <w:rPr>
          <w:rFonts w:eastAsia="仿宋_GB2312" w:hint="eastAsia"/>
          <w:sz w:val="32"/>
          <w:szCs w:val="32"/>
          <w:lang w:eastAsia="zh-CN"/>
        </w:rPr>
        <w:t>】</w:t>
      </w:r>
      <w:r>
        <w:rPr>
          <w:rFonts w:eastAsia="仿宋_GB2312" w:hint="eastAsia"/>
          <w:sz w:val="32"/>
          <w:szCs w:val="32"/>
          <w:lang w:eastAsia="zh-CN"/>
        </w:rPr>
        <w:t>97</w:t>
      </w:r>
      <w:r>
        <w:rPr>
          <w:rFonts w:eastAsia="仿宋_GB2312" w:hint="eastAsia"/>
          <w:sz w:val="32"/>
          <w:szCs w:val="32"/>
          <w:lang w:eastAsia="zh-CN"/>
        </w:rPr>
        <w:t>号文件精神，城乡居民医疗保险工作经费人平均</w:t>
      </w:r>
      <w:r>
        <w:rPr>
          <w:rFonts w:eastAsia="仿宋_GB2312" w:hint="eastAsia"/>
          <w:sz w:val="32"/>
          <w:szCs w:val="32"/>
          <w:lang w:eastAsia="zh-CN"/>
        </w:rPr>
        <w:t>3.5</w:t>
      </w:r>
      <w:r>
        <w:rPr>
          <w:rFonts w:eastAsia="仿宋_GB2312" w:hint="eastAsia"/>
          <w:sz w:val="32"/>
          <w:szCs w:val="32"/>
          <w:lang w:eastAsia="zh-CN"/>
        </w:rPr>
        <w:t>元的标准预算，其中</w:t>
      </w:r>
      <w:r>
        <w:rPr>
          <w:rFonts w:eastAsia="仿宋_GB2312" w:hint="eastAsia"/>
          <w:sz w:val="32"/>
          <w:szCs w:val="32"/>
          <w:lang w:eastAsia="zh-CN"/>
        </w:rPr>
        <w:t>1.5</w:t>
      </w:r>
      <w:r>
        <w:rPr>
          <w:rFonts w:eastAsia="仿宋_GB2312" w:hint="eastAsia"/>
          <w:sz w:val="32"/>
          <w:szCs w:val="32"/>
          <w:lang w:eastAsia="zh-CN"/>
        </w:rPr>
        <w:t>元用于经办机构工作经费，</w:t>
      </w:r>
      <w:r>
        <w:rPr>
          <w:rFonts w:eastAsia="仿宋_GB2312" w:hint="eastAsia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元用于乡镇筹资参保和信息录入工作；特殊群体代缴（全免）</w:t>
      </w:r>
      <w:r>
        <w:rPr>
          <w:rFonts w:eastAsia="仿宋_GB2312" w:hint="eastAsia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万元；工作奖金</w:t>
      </w:r>
      <w:r>
        <w:rPr>
          <w:rFonts w:eastAsia="仿宋_GB2312" w:hint="eastAsia"/>
          <w:sz w:val="32"/>
          <w:szCs w:val="32"/>
          <w:lang w:eastAsia="zh-CN"/>
        </w:rPr>
        <w:t>16</w:t>
      </w:r>
      <w:r>
        <w:rPr>
          <w:rFonts w:eastAsia="仿宋_GB2312" w:hint="eastAsia"/>
          <w:sz w:val="32"/>
          <w:szCs w:val="32"/>
          <w:lang w:eastAsia="zh-CN"/>
        </w:rPr>
        <w:t>万元。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年本级财政安排补助资金</w:t>
      </w:r>
      <w:r>
        <w:rPr>
          <w:rFonts w:eastAsia="仿宋_GB2312" w:hint="eastAsia"/>
          <w:sz w:val="32"/>
          <w:szCs w:val="32"/>
        </w:rPr>
        <w:t>205</w:t>
      </w:r>
      <w:r>
        <w:rPr>
          <w:rFonts w:eastAsia="仿宋_GB2312" w:hint="eastAsia"/>
          <w:sz w:val="32"/>
          <w:szCs w:val="32"/>
        </w:rPr>
        <w:t>万元。</w:t>
      </w:r>
    </w:p>
    <w:p w:rsidR="006A5FB5" w:rsidRDefault="00DB3E69" w:rsidP="00594FB7">
      <w:pPr>
        <w:numPr>
          <w:ilvl w:val="0"/>
          <w:numId w:val="5"/>
        </w:num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项目资金使用管理情况。</w:t>
      </w:r>
    </w:p>
    <w:p w:rsidR="006A5FB5" w:rsidRDefault="00DB3E69" w:rsidP="00594FB7">
      <w:pPr>
        <w:pStyle w:val="a0"/>
        <w:ind w:leftChars="200" w:left="420"/>
        <w:rPr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项目支出组织管理机构</w:t>
      </w:r>
      <w:r>
        <w:rPr>
          <w:rFonts w:eastAsia="仿宋_GB2312" w:hint="eastAsia"/>
          <w:sz w:val="32"/>
          <w:szCs w:val="32"/>
          <w:lang w:eastAsia="zh-CN"/>
        </w:rPr>
        <w:t>为汨罗市医疗保障局，</w:t>
      </w:r>
      <w:r>
        <w:rPr>
          <w:rFonts w:eastAsia="仿宋_GB2312" w:hint="eastAsia"/>
          <w:sz w:val="32"/>
          <w:szCs w:val="32"/>
          <w:lang w:eastAsia="zh-CN"/>
        </w:rPr>
        <w:t>专项资金已全额到位，保证了工作顺利开展</w:t>
      </w:r>
      <w:r>
        <w:rPr>
          <w:rFonts w:eastAsia="仿宋_GB2312" w:hint="eastAsia"/>
          <w:sz w:val="32"/>
          <w:szCs w:val="32"/>
          <w:lang w:eastAsia="zh-CN"/>
        </w:rPr>
        <w:t>。</w:t>
      </w:r>
    </w:p>
    <w:p w:rsidR="006A5FB5" w:rsidRDefault="00DB3E69" w:rsidP="00594FB7">
      <w:pPr>
        <w:pStyle w:val="a4"/>
        <w:numPr>
          <w:ilvl w:val="0"/>
          <w:numId w:val="5"/>
        </w:numPr>
        <w:spacing w:line="560" w:lineRule="exact"/>
        <w:ind w:firstLineChars="200" w:firstLine="592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项目支出绩效目标完成程度</w:t>
      </w: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>。</w:t>
      </w:r>
    </w:p>
    <w:p w:rsidR="006A5FB5" w:rsidRDefault="00DB3E69" w:rsidP="00594FB7">
      <w:pPr>
        <w:pStyle w:val="a4"/>
        <w:spacing w:line="560" w:lineRule="exact"/>
        <w:ind w:leftChars="200" w:left="42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绩效总</w:t>
      </w:r>
      <w:r>
        <w:rPr>
          <w:rFonts w:eastAsia="仿宋_GB2312" w:cs="Arial" w:hint="eastAsia"/>
          <w:sz w:val="32"/>
          <w:szCs w:val="32"/>
          <w:lang w:eastAsia="zh-CN"/>
        </w:rPr>
        <w:t>目标为参保率达到</w:t>
      </w:r>
      <w:r>
        <w:rPr>
          <w:rFonts w:hint="eastAsia"/>
          <w:sz w:val="32"/>
          <w:szCs w:val="32"/>
          <w:lang w:eastAsia="zh-CN"/>
        </w:rPr>
        <w:t>95%</w:t>
      </w:r>
      <w:r>
        <w:rPr>
          <w:rFonts w:eastAsia="仿宋_GB2312" w:cs="Arial" w:hint="eastAsia"/>
          <w:sz w:val="32"/>
          <w:szCs w:val="32"/>
          <w:lang w:eastAsia="zh-CN"/>
        </w:rPr>
        <w:t>以上，圆满完成。</w:t>
      </w:r>
    </w:p>
    <w:p w:rsidR="006A5FB5" w:rsidRDefault="00DB3E69"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绩效评价工作情况</w:t>
      </w:r>
      <w:proofErr w:type="spellEnd"/>
    </w:p>
    <w:p w:rsidR="006A5FB5" w:rsidRDefault="00DB3E69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结合我市实际情况，对资金筹集、资金管理与监督都作了明确规定。</w:t>
      </w:r>
    </w:p>
    <w:p w:rsidR="006A5FB5" w:rsidRDefault="00DB3E69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一是执行统一的预决算制度、财务会计制度和内部审计制度。</w:t>
      </w:r>
    </w:p>
    <w:p w:rsidR="006A5FB5" w:rsidRDefault="00DB3E69">
      <w:pPr>
        <w:pStyle w:val="a0"/>
        <w:ind w:left="640"/>
        <w:rPr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二是严格执行落实财务管理制度。</w:t>
      </w:r>
    </w:p>
    <w:p w:rsidR="006A5FB5" w:rsidRDefault="00DB3E69" w:rsidP="00594FB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、项目支出主要绩效及评价结论</w:t>
      </w:r>
    </w:p>
    <w:p w:rsidR="006A5FB5" w:rsidRDefault="00DB3E69">
      <w:pPr>
        <w:pStyle w:val="a0"/>
        <w:rPr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本次绩效评价的对象范围为我市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1-12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月城乡居民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保征收经费专项使用情况，共计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6A5FB5" w:rsidRDefault="00DB3E69" w:rsidP="00594FB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绩效评价指标分析</w:t>
      </w:r>
    </w:p>
    <w:p w:rsidR="006A5FB5" w:rsidRDefault="00DB3E69">
      <w:pPr>
        <w:pStyle w:val="a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城乡居民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保征收经费有力促进了我市城乡居民医疗保险制度的建立和发展，经济、社会效益显著。主要体现在：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、参保人数达到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余万人，参保率达到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95%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以上；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、切实保障了城乡居民医疗保险工作正常开展，提高医疗效率和服务水平。</w:t>
      </w:r>
    </w:p>
    <w:p w:rsidR="006A5FB5" w:rsidRDefault="00DB3E69" w:rsidP="00594FB7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 w:rsidR="006A5FB5" w:rsidRDefault="00DB3E69">
      <w:pPr>
        <w:pStyle w:val="a4"/>
        <w:spacing w:line="560" w:lineRule="exact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在综合评价中，我们发现，城乡居民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保征收经费的使用和管理取得成效的同时，也存在一些问题，主要表现在以下</w:t>
      </w:r>
      <w:r>
        <w:rPr>
          <w:rFonts w:hint="eastAsia"/>
          <w:sz w:val="32"/>
          <w:szCs w:val="32"/>
          <w:lang w:eastAsia="zh-CN"/>
        </w:rPr>
        <w:t>几个方面：</w:t>
      </w:r>
      <w:r>
        <w:rPr>
          <w:rFonts w:hint="eastAsia"/>
          <w:sz w:val="32"/>
          <w:szCs w:val="32"/>
          <w:lang w:eastAsia="zh-CN"/>
        </w:rPr>
        <w:t>1</w:t>
      </w:r>
      <w:r>
        <w:rPr>
          <w:rFonts w:hint="eastAsia"/>
          <w:sz w:val="32"/>
          <w:szCs w:val="32"/>
          <w:lang w:eastAsia="zh-CN"/>
        </w:rPr>
        <w:t>、</w:t>
      </w:r>
      <w:proofErr w:type="gramStart"/>
      <w:r>
        <w:rPr>
          <w:rFonts w:hint="eastAsia"/>
          <w:sz w:val="32"/>
          <w:szCs w:val="32"/>
          <w:lang w:eastAsia="zh-CN"/>
        </w:rPr>
        <w:t>医</w:t>
      </w:r>
      <w:proofErr w:type="gramEnd"/>
      <w:r>
        <w:rPr>
          <w:rFonts w:hint="eastAsia"/>
          <w:sz w:val="32"/>
          <w:szCs w:val="32"/>
          <w:lang w:eastAsia="zh-CN"/>
        </w:rPr>
        <w:t>保专项职能的增加，工作范围更广，资金不足以保障全部工作经费，经费有一定缺口；</w:t>
      </w:r>
      <w:r>
        <w:rPr>
          <w:rFonts w:hint="eastAsia"/>
          <w:sz w:val="32"/>
          <w:szCs w:val="32"/>
          <w:lang w:eastAsia="zh-CN"/>
        </w:rPr>
        <w:t>2</w:t>
      </w:r>
      <w:r>
        <w:rPr>
          <w:rFonts w:hint="eastAsia"/>
          <w:sz w:val="32"/>
          <w:szCs w:val="32"/>
          <w:lang w:eastAsia="zh-CN"/>
        </w:rPr>
        <w:t>、收缴政策调整，需进一步与税务等部门进行协调，减少工</w:t>
      </w:r>
      <w:r>
        <w:rPr>
          <w:rFonts w:hint="eastAsia"/>
          <w:sz w:val="32"/>
          <w:szCs w:val="32"/>
          <w:lang w:eastAsia="zh-CN"/>
        </w:rPr>
        <w:t>作流程，方便群众缴费。</w:t>
      </w:r>
    </w:p>
    <w:p w:rsidR="006A5FB5" w:rsidRDefault="00DB3E69">
      <w:pPr>
        <w:spacing w:line="560" w:lineRule="exact"/>
        <w:ind w:left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>六、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有关建议</w:t>
      </w:r>
    </w:p>
    <w:p w:rsidR="006A5FB5" w:rsidRDefault="00DB3E69">
      <w:pPr>
        <w:pStyle w:val="a0"/>
        <w:ind w:left="640"/>
        <w:rPr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为进一步提高城乡居民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医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保征收经费的使用绩效，建议加强各部门之间的沟通协调，简化工作流程，提高工作效率，更好的服务于广大城乡居民。</w:t>
      </w:r>
    </w:p>
    <w:p w:rsidR="006A5FB5" w:rsidRDefault="00DB3E69">
      <w:pPr>
        <w:numPr>
          <w:ilvl w:val="0"/>
          <w:numId w:val="3"/>
        </w:numPr>
        <w:spacing w:line="560" w:lineRule="exact"/>
        <w:ind w:left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其他需要说明的问题</w:t>
      </w:r>
      <w:proofErr w:type="spellEnd"/>
    </w:p>
    <w:p w:rsidR="006A5FB5" w:rsidRDefault="00DB3E69">
      <w:pPr>
        <w:pStyle w:val="a0"/>
        <w:ind w:left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无。</w:t>
      </w:r>
    </w:p>
    <w:sectPr w:rsidR="006A5FB5" w:rsidSect="006A5FB5">
      <w:footerReference w:type="default" r:id="rId11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69" w:rsidRDefault="00DB3E69">
      <w:r>
        <w:separator/>
      </w:r>
    </w:p>
  </w:endnote>
  <w:endnote w:type="continuationSeparator" w:id="0">
    <w:p w:rsidR="00DB3E69" w:rsidRDefault="00DB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A5FB5" w:rsidRDefault="006A5FB5">
        <w:pPr>
          <w:pStyle w:val="a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B3E6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B3E69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DB3E69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A5FB5" w:rsidRDefault="006A5FB5">
    <w:pPr>
      <w:pStyle w:val="a0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A5FB5" w:rsidRDefault="006A5FB5">
        <w:pPr>
          <w:pStyle w:val="a0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6A5FB5" w:rsidRDefault="006A5FB5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6A5FB5" w:rsidRDefault="006A5FB5">
        <w:pPr>
          <w:pStyle w:val="a0"/>
          <w:jc w:val="right"/>
          <w:rPr>
            <w:rFonts w:asciiTheme="minorEastAsia" w:eastAsiaTheme="minorEastAsia" w:hAnsiTheme="minorEastAsia"/>
          </w:rPr>
        </w:pPr>
      </w:p>
    </w:sdtContent>
  </w:sdt>
  <w:p w:rsidR="006A5FB5" w:rsidRDefault="006A5FB5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B5" w:rsidRDefault="006A5FB5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B5" w:rsidRDefault="006A5FB5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69" w:rsidRDefault="00DB3E69">
      <w:r>
        <w:separator/>
      </w:r>
    </w:p>
  </w:footnote>
  <w:footnote w:type="continuationSeparator" w:id="0">
    <w:p w:rsidR="00DB3E69" w:rsidRDefault="00DB3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ABA13A"/>
    <w:multiLevelType w:val="singleLevel"/>
    <w:tmpl w:val="F0ABA13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CBBE407"/>
    <w:multiLevelType w:val="singleLevel"/>
    <w:tmpl w:val="FCBBE40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354E08"/>
    <w:multiLevelType w:val="singleLevel"/>
    <w:tmpl w:val="28354E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E58E208"/>
    <w:multiLevelType w:val="singleLevel"/>
    <w:tmpl w:val="2E58E2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8630AA4"/>
    <w:multiLevelType w:val="singleLevel"/>
    <w:tmpl w:val="38630AA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YzUwMGYwNTBiMTQzMGU2MDE3OTVjMzg2NWUyYmM3OTEifQ=="/>
  </w:docVars>
  <w:rsids>
    <w:rsidRoot w:val="006A5FB5"/>
    <w:rsid w:val="001F111F"/>
    <w:rsid w:val="00594FB7"/>
    <w:rsid w:val="006A5FB5"/>
    <w:rsid w:val="00B41C52"/>
    <w:rsid w:val="00DB3E69"/>
    <w:rsid w:val="01AF3811"/>
    <w:rsid w:val="03795BF7"/>
    <w:rsid w:val="086E756B"/>
    <w:rsid w:val="0ACF37E5"/>
    <w:rsid w:val="0B400BC6"/>
    <w:rsid w:val="0D5605EF"/>
    <w:rsid w:val="0E68228D"/>
    <w:rsid w:val="15276E52"/>
    <w:rsid w:val="19D32FBC"/>
    <w:rsid w:val="1E6A4395"/>
    <w:rsid w:val="24357934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FB623A7"/>
    <w:rsid w:val="6E3851B0"/>
    <w:rsid w:val="77C20CA1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semiHidden/>
    <w:qFormat/>
    <w:rsid w:val="006A5FB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autoRedefine/>
    <w:uiPriority w:val="99"/>
    <w:qFormat/>
    <w:rsid w:val="006A5FB5"/>
    <w:pPr>
      <w:tabs>
        <w:tab w:val="center" w:pos="4153"/>
        <w:tab w:val="right" w:pos="8306"/>
      </w:tabs>
      <w:spacing w:line="560" w:lineRule="exact"/>
    </w:pPr>
    <w:rPr>
      <w:sz w:val="18"/>
      <w:szCs w:val="18"/>
    </w:rPr>
  </w:style>
  <w:style w:type="paragraph" w:styleId="5">
    <w:name w:val="index 5"/>
    <w:basedOn w:val="a"/>
    <w:next w:val="a"/>
    <w:qFormat/>
    <w:rsid w:val="006A5FB5"/>
    <w:pPr>
      <w:ind w:left="1680"/>
    </w:pPr>
  </w:style>
  <w:style w:type="paragraph" w:styleId="a4">
    <w:name w:val="Body Text"/>
    <w:basedOn w:val="a"/>
    <w:autoRedefine/>
    <w:semiHidden/>
    <w:qFormat/>
    <w:rsid w:val="006A5FB5"/>
    <w:rPr>
      <w:rFonts w:ascii="仿宋" w:eastAsia="仿宋" w:hAnsi="仿宋" w:cs="仿宋"/>
      <w:sz w:val="34"/>
      <w:szCs w:val="34"/>
    </w:rPr>
  </w:style>
  <w:style w:type="paragraph" w:styleId="2">
    <w:name w:val="Body Text Indent 2"/>
    <w:basedOn w:val="a"/>
    <w:unhideWhenUsed/>
    <w:qFormat/>
    <w:rsid w:val="006A5FB5"/>
    <w:pPr>
      <w:spacing w:after="120" w:line="480" w:lineRule="auto"/>
      <w:ind w:leftChars="200" w:left="420"/>
    </w:pPr>
  </w:style>
  <w:style w:type="paragraph" w:styleId="a5">
    <w:name w:val="header"/>
    <w:basedOn w:val="a"/>
    <w:autoRedefine/>
    <w:qFormat/>
    <w:rsid w:val="006A5F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6A5F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6A5FB5"/>
  </w:style>
  <w:style w:type="paragraph" w:styleId="a6">
    <w:name w:val="List Paragraph"/>
    <w:autoRedefine/>
    <w:uiPriority w:val="99"/>
    <w:unhideWhenUsed/>
    <w:qFormat/>
    <w:rsid w:val="006A5FB5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843</Words>
  <Characters>4809</Characters>
  <Application>Microsoft Office Word</Application>
  <DocSecurity>0</DocSecurity>
  <Lines>40</Lines>
  <Paragraphs>11</Paragraphs>
  <ScaleCrop>false</ScaleCrop>
  <Company>微软中国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2024-05-21T14:05:00Z</cp:lastPrinted>
  <dcterms:created xsi:type="dcterms:W3CDTF">2024-04-19T21:25:00Z</dcterms:created>
  <dcterms:modified xsi:type="dcterms:W3CDTF">2024-07-30T05:11:00Z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41E5A047C7B848BCB8D2413D02F42F47_13</vt:lpwstr>
  </property>
</Properties>
</file>