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1D" w:rsidRDefault="001B6B8E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6E591D" w:rsidRDefault="001B6B8E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2022年度部门整体支出绩效评价基础</w:t>
      </w:r>
    </w:p>
    <w:p w:rsidR="006E591D" w:rsidRDefault="001B6B8E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6E591D" w:rsidRDefault="006E591D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6E591D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6E591D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122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108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88.52%</w:t>
            </w:r>
          </w:p>
        </w:tc>
      </w:tr>
      <w:tr w:rsidR="006E591D">
        <w:trPr>
          <w:trHeight w:val="359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6E591D">
        <w:trPr>
          <w:trHeight w:val="369"/>
        </w:trPr>
        <w:tc>
          <w:tcPr>
            <w:tcW w:w="3271" w:type="dxa"/>
            <w:vAlign w:val="center"/>
          </w:tcPr>
          <w:p w:rsidR="006E591D" w:rsidRDefault="001B6B8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27.50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22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21.80</w:t>
            </w:r>
          </w:p>
        </w:tc>
      </w:tr>
      <w:tr w:rsidR="006E591D">
        <w:trPr>
          <w:trHeight w:val="350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E591D">
        <w:trPr>
          <w:trHeight w:val="370"/>
        </w:trPr>
        <w:tc>
          <w:tcPr>
            <w:tcW w:w="3271" w:type="dxa"/>
            <w:vAlign w:val="center"/>
          </w:tcPr>
          <w:p w:rsidR="006E591D" w:rsidRDefault="001B6B8E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50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69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40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27.50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22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21.80</w:t>
            </w:r>
          </w:p>
        </w:tc>
      </w:tr>
      <w:tr w:rsidR="006E591D">
        <w:trPr>
          <w:trHeight w:val="350"/>
        </w:trPr>
        <w:tc>
          <w:tcPr>
            <w:tcW w:w="3271" w:type="dxa"/>
            <w:vAlign w:val="center"/>
          </w:tcPr>
          <w:p w:rsidR="006E591D" w:rsidRDefault="001B6B8E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2010.46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3025.56</w:t>
            </w:r>
          </w:p>
        </w:tc>
      </w:tr>
      <w:tr w:rsidR="006E591D">
        <w:trPr>
          <w:trHeight w:val="359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59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2010.46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3025.56</w:t>
            </w:r>
          </w:p>
        </w:tc>
      </w:tr>
      <w:tr w:rsidR="006E591D">
        <w:trPr>
          <w:trHeight w:val="359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6E591D" w:rsidRDefault="001B6B8E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E591D">
        <w:trPr>
          <w:trHeight w:val="350"/>
        </w:trPr>
        <w:tc>
          <w:tcPr>
            <w:tcW w:w="3271" w:type="dxa"/>
            <w:vAlign w:val="center"/>
          </w:tcPr>
          <w:p w:rsidR="006E591D" w:rsidRDefault="001B6B8E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581.04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182.76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439.23</w:t>
            </w:r>
          </w:p>
        </w:tc>
      </w:tr>
      <w:tr w:rsidR="006E591D">
        <w:trPr>
          <w:trHeight w:val="350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360.90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113.52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272.82</w:t>
            </w:r>
          </w:p>
        </w:tc>
      </w:tr>
      <w:tr w:rsidR="006E591D">
        <w:trPr>
          <w:trHeight w:val="360"/>
        </w:trPr>
        <w:tc>
          <w:tcPr>
            <w:tcW w:w="3271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50.47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15.87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38.15</w:t>
            </w:r>
          </w:p>
        </w:tc>
      </w:tr>
      <w:tr w:rsidR="006E591D">
        <w:trPr>
          <w:trHeight w:val="350"/>
        </w:trPr>
        <w:tc>
          <w:tcPr>
            <w:tcW w:w="3271" w:type="dxa"/>
            <w:vAlign w:val="center"/>
          </w:tcPr>
          <w:p w:rsidR="006E591D" w:rsidRDefault="001B6B8E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169.67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53.37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128.26</w:t>
            </w:r>
          </w:p>
        </w:tc>
      </w:tr>
      <w:tr w:rsidR="006E591D">
        <w:trPr>
          <w:trHeight w:val="350"/>
        </w:trPr>
        <w:tc>
          <w:tcPr>
            <w:tcW w:w="3271" w:type="dxa"/>
            <w:vAlign w:val="center"/>
          </w:tcPr>
          <w:p w:rsidR="006E591D" w:rsidRDefault="001B6B8E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2095</w:t>
            </w:r>
          </w:p>
        </w:tc>
        <w:tc>
          <w:tcPr>
            <w:tcW w:w="2039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2748.90</w:t>
            </w:r>
          </w:p>
        </w:tc>
        <w:tc>
          <w:tcPr>
            <w:tcW w:w="1983" w:type="dxa"/>
            <w:gridSpan w:val="2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2650</w:t>
            </w:r>
          </w:p>
        </w:tc>
      </w:tr>
      <w:tr w:rsidR="006E591D">
        <w:trPr>
          <w:trHeight w:val="369"/>
        </w:trPr>
        <w:tc>
          <w:tcPr>
            <w:tcW w:w="3271" w:type="dxa"/>
            <w:vAlign w:val="center"/>
          </w:tcPr>
          <w:p w:rsidR="006E591D" w:rsidRDefault="001B6B8E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E591D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6E591D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</w:tr>
      <w:tr w:rsidR="006E591D">
        <w:trPr>
          <w:trHeight w:val="345"/>
        </w:trPr>
        <w:tc>
          <w:tcPr>
            <w:tcW w:w="3271" w:type="dxa"/>
            <w:vAlign w:val="center"/>
          </w:tcPr>
          <w:p w:rsidR="006E591D" w:rsidRDefault="001B6B8E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6E591D" w:rsidRDefault="006E591D">
            <w:pPr>
              <w:ind w:firstLine="420"/>
              <w:jc w:val="center"/>
            </w:pPr>
          </w:p>
        </w:tc>
      </w:tr>
    </w:tbl>
    <w:p w:rsidR="006E591D" w:rsidRDefault="001B6B8E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6E591D" w:rsidRDefault="001B6B8E" w:rsidP="00AC23B1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 w:hint="eastAsia"/>
          <w:lang w:eastAsia="zh-CN"/>
        </w:rPr>
        <w:t>陈硕</w:t>
      </w:r>
      <w:r>
        <w:rPr>
          <w:rFonts w:ascii="仿宋_GB2312" w:eastAsia="仿宋_GB2312" w:hAnsi="宋体" w:cs="宋体"/>
          <w:lang w:eastAsia="zh-CN"/>
        </w:rPr>
        <w:t xml:space="preserve">       填报日期：</w:t>
      </w:r>
      <w:r>
        <w:rPr>
          <w:rFonts w:ascii="仿宋_GB2312" w:eastAsia="仿宋_GB2312" w:hAnsi="宋体" w:cs="宋体" w:hint="eastAsia"/>
          <w:lang w:eastAsia="zh-CN"/>
        </w:rPr>
        <w:t>2022.12.31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>15115051273</w:t>
      </w:r>
      <w:r>
        <w:rPr>
          <w:rFonts w:ascii="仿宋_GB2312" w:eastAsia="仿宋_GB2312" w:hAnsi="宋体" w:cs="宋体"/>
          <w:lang w:eastAsia="zh-CN"/>
        </w:rPr>
        <w:t xml:space="preserve"> 单位负责人签字：</w:t>
      </w:r>
    </w:p>
    <w:p w:rsidR="006E591D" w:rsidRDefault="006E591D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6E59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6E591D" w:rsidRDefault="001B6B8E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6E591D" w:rsidRDefault="001B6B8E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6E591D" w:rsidRDefault="006E591D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6E591D">
        <w:trPr>
          <w:trHeight w:val="484"/>
        </w:trPr>
        <w:tc>
          <w:tcPr>
            <w:tcW w:w="1074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汨罗市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弼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时镇人民政府</w:t>
            </w:r>
          </w:p>
        </w:tc>
      </w:tr>
      <w:tr w:rsidR="006E591D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年初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98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6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执行数</w:t>
            </w:r>
            <w:proofErr w:type="spellEnd"/>
          </w:p>
        </w:tc>
        <w:tc>
          <w:tcPr>
            <w:tcW w:w="6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</w:tr>
      <w:tr w:rsidR="006E591D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6E591D" w:rsidRDefault="001B6B8E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1176.13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1176.13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4636.89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394.25</w:t>
            </w:r>
          </w:p>
        </w:tc>
        <w:tc>
          <w:tcPr>
            <w:tcW w:w="1423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6E591D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E591D" w:rsidRDefault="001B6B8E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按收入性质分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6E591D" w:rsidRDefault="001B6B8E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按支出性质分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E591D" w:rsidRDefault="001B6B8E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其中：一般公共预算：3106.36</w:t>
            </w:r>
          </w:p>
        </w:tc>
        <w:tc>
          <w:tcPr>
            <w:tcW w:w="4260" w:type="dxa"/>
            <w:gridSpan w:val="4"/>
            <w:vAlign w:val="center"/>
          </w:tcPr>
          <w:p w:rsidR="006E591D" w:rsidRDefault="001B6B8E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1611.33</w:t>
            </w:r>
          </w:p>
        </w:tc>
      </w:tr>
      <w:tr w:rsidR="006E591D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E591D" w:rsidRDefault="001B6B8E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1530.53</w:t>
            </w:r>
          </w:p>
        </w:tc>
        <w:tc>
          <w:tcPr>
            <w:tcW w:w="4260" w:type="dxa"/>
            <w:gridSpan w:val="4"/>
            <w:vAlign w:val="center"/>
          </w:tcPr>
          <w:p w:rsidR="006E591D" w:rsidRDefault="001B6B8E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3025.56</w:t>
            </w:r>
          </w:p>
        </w:tc>
      </w:tr>
      <w:tr w:rsidR="006E591D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E591D" w:rsidRDefault="001B6B8E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6E591D" w:rsidRDefault="006E591D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6E591D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E591D" w:rsidRDefault="001B6B8E">
            <w:pPr>
              <w:ind w:firstLineChars="500" w:firstLine="10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1176.13</w:t>
            </w:r>
          </w:p>
        </w:tc>
        <w:tc>
          <w:tcPr>
            <w:tcW w:w="4260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4363.89</w:t>
            </w:r>
          </w:p>
        </w:tc>
      </w:tr>
      <w:tr w:rsidR="006E591D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6E591D" w:rsidRDefault="006E591D">
            <w:pPr>
              <w:jc w:val="both"/>
              <w:rPr>
                <w:rFonts w:ascii="仿宋_GB2312" w:eastAsia="仿宋_GB2312"/>
              </w:rPr>
            </w:pPr>
          </w:p>
          <w:p w:rsidR="006E591D" w:rsidRDefault="001B6B8E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指标1.保障全单位</w:t>
            </w:r>
            <w:proofErr w:type="gramStart"/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工资及运转经费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3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指标2.村（社区）运转经费保障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3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</w:rPr>
              <w:t>指标3.保障社会民生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3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指标4.保障其他基本公共服务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指标1.保障全单位</w:t>
            </w:r>
            <w:proofErr w:type="gramStart"/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工资及运转经费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99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指标2.村（社区）运转经费保障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99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</w:rPr>
              <w:t>指标3.保障社会民生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99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指标4.保障其他基本公共服务</w:t>
            </w:r>
          </w:p>
        </w:tc>
        <w:tc>
          <w:tcPr>
            <w:tcW w:w="1298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按照相关时间规定及时安排经费支出。</w:t>
            </w:r>
          </w:p>
        </w:tc>
        <w:tc>
          <w:tcPr>
            <w:tcW w:w="1298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69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严格按2022年预算时效执行</w:t>
            </w:r>
          </w:p>
        </w:tc>
        <w:tc>
          <w:tcPr>
            <w:tcW w:w="1298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69" w:type="dxa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lastRenderedPageBreak/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lastRenderedPageBreak/>
              <w:t>经济效益</w:t>
            </w:r>
            <w:r>
              <w:rPr>
                <w:rFonts w:ascii="仿宋_GB2312" w:eastAsia="仿宋_GB2312" w:hAnsi="宋体" w:cs="宋体" w:hint="eastAsia"/>
              </w:rPr>
              <w:lastRenderedPageBreak/>
              <w:t>指标</w:t>
            </w:r>
            <w:proofErr w:type="spellEnd"/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社会治</w:t>
            </w:r>
            <w:r>
              <w:rPr>
                <w:rFonts w:ascii="仿宋_GB2312" w:eastAsia="仿宋_GB2312" w:hint="eastAsia"/>
                <w:lang w:eastAsia="zh-CN"/>
              </w:rPr>
              <w:lastRenderedPageBreak/>
              <w:t>安稳定，不发生重大安全生产事故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lastRenderedPageBreak/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投入产出比符合经济效益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人居环境明显改善，倡导绿色环保理念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91D" w:rsidRDefault="006E591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提升的经济效益可持续影响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综治民调提质，公众安全感满意度提高。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成本得到合理控制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6E591D" w:rsidRDefault="006E591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社会成本得到控制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bottom w:val="nil"/>
            </w:tcBorders>
            <w:vAlign w:val="center"/>
          </w:tcPr>
          <w:p w:rsidR="006E591D" w:rsidRDefault="006E591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生态环境得到保护</w:t>
            </w:r>
          </w:p>
        </w:tc>
        <w:tc>
          <w:tcPr>
            <w:tcW w:w="1298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E591D" w:rsidRDefault="001B6B8E">
            <w:pPr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E591D">
        <w:trPr>
          <w:trHeight w:val="339"/>
        </w:trPr>
        <w:tc>
          <w:tcPr>
            <w:tcW w:w="6988" w:type="dxa"/>
            <w:gridSpan w:val="6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6E591D" w:rsidRDefault="001B6B8E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 w:hint="eastAsia"/>
          <w:lang w:eastAsia="zh-CN"/>
        </w:rPr>
        <w:t>陈硕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填报日期：</w:t>
      </w:r>
      <w:r>
        <w:rPr>
          <w:rFonts w:ascii="仿宋_GB2312" w:eastAsia="仿宋_GB2312" w:hAnsi="宋体" w:cs="宋体" w:hint="eastAsia"/>
          <w:lang w:eastAsia="zh-CN"/>
        </w:rPr>
        <w:t>2022.12.31</w:t>
      </w:r>
      <w:r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>15115051273</w:t>
      </w:r>
      <w:r>
        <w:rPr>
          <w:rFonts w:ascii="仿宋_GB2312" w:eastAsia="仿宋_GB2312" w:hAnsi="宋体" w:cs="宋体"/>
          <w:lang w:eastAsia="zh-CN"/>
        </w:rPr>
        <w:t xml:space="preserve"> 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6E591D" w:rsidRDefault="006E591D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</w:p>
    <w:p w:rsidR="006E591D" w:rsidRDefault="006E591D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</w:p>
    <w:p w:rsidR="006E591D" w:rsidRDefault="006E591D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</w:p>
    <w:p w:rsidR="006E591D" w:rsidRDefault="006E591D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</w:p>
    <w:p w:rsidR="006E591D" w:rsidRDefault="006E591D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</w:p>
    <w:p w:rsidR="006E591D" w:rsidRDefault="006E591D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</w:p>
    <w:p w:rsidR="006E591D" w:rsidRDefault="006E591D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</w:p>
    <w:p w:rsidR="006E591D" w:rsidRDefault="001B6B8E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附件3</w:t>
      </w:r>
    </w:p>
    <w:p w:rsidR="006E591D" w:rsidRDefault="001B6B8E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lastRenderedPageBreak/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6E591D" w:rsidRDefault="006E591D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6E591D">
        <w:trPr>
          <w:trHeight w:val="514"/>
          <w:jc w:val="center"/>
        </w:trPr>
        <w:tc>
          <w:tcPr>
            <w:tcW w:w="1054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弼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时镇唐家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桥直塘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改造</w:t>
            </w: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弼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时镇人民政府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6E591D" w:rsidRDefault="001B6B8E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市序贤建筑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劳务有限公司</w:t>
            </w:r>
          </w:p>
        </w:tc>
      </w:tr>
      <w:tr w:rsidR="006E591D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45.44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45.44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45.44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45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45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45</w:t>
            </w:r>
          </w:p>
        </w:tc>
        <w:tc>
          <w:tcPr>
            <w:tcW w:w="80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E591D" w:rsidRDefault="001B6B8E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E591D" w:rsidRDefault="001B6B8E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020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0.44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0.44</w:t>
            </w:r>
          </w:p>
        </w:tc>
        <w:tc>
          <w:tcPr>
            <w:tcW w:w="109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0.44</w:t>
            </w:r>
          </w:p>
        </w:tc>
        <w:tc>
          <w:tcPr>
            <w:tcW w:w="80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弼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时镇唐家桥麻石护砌、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边坡打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混凝土、安装混凝排水管、回填土方、清淤泥。</w:t>
            </w:r>
          </w:p>
        </w:tc>
        <w:tc>
          <w:tcPr>
            <w:tcW w:w="4140" w:type="dxa"/>
            <w:gridSpan w:val="4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该施工项目材料符合要求，施工程序和施工质量达到合同要求。</w:t>
            </w:r>
          </w:p>
        </w:tc>
      </w:tr>
      <w:tr w:rsidR="006E591D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218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02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383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020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20"/>
                <w:szCs w:val="24"/>
              </w:rPr>
              <w:t>场地面积</w:t>
            </w:r>
            <w:proofErr w:type="spellEnd"/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84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1383" w:type="dxa"/>
          </w:tcPr>
          <w:p w:rsidR="006E591D" w:rsidRDefault="006E591D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20"/>
                <w:szCs w:val="24"/>
              </w:rPr>
              <w:t>场地数量</w:t>
            </w:r>
            <w:proofErr w:type="spellEnd"/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84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1383" w:type="dxa"/>
          </w:tcPr>
          <w:p w:rsidR="006E591D" w:rsidRDefault="006E591D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</w:p>
        </w:tc>
      </w:tr>
      <w:tr w:rsidR="006E591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020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20"/>
                <w:szCs w:val="24"/>
              </w:rPr>
              <w:t>护砌质量</w:t>
            </w:r>
            <w:proofErr w:type="spellEnd"/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84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1383" w:type="dxa"/>
          </w:tcPr>
          <w:p w:rsidR="006E591D" w:rsidRDefault="006E591D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20"/>
                <w:szCs w:val="24"/>
              </w:rPr>
              <w:t>边坡质量</w:t>
            </w:r>
            <w:proofErr w:type="spellEnd"/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84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1383" w:type="dxa"/>
          </w:tcPr>
          <w:p w:rsidR="006E591D" w:rsidRDefault="006E591D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</w:p>
        </w:tc>
      </w:tr>
      <w:tr w:rsidR="006E591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20"/>
                <w:szCs w:val="24"/>
              </w:rPr>
              <w:t>工程时间</w:t>
            </w:r>
            <w:proofErr w:type="spellEnd"/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84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1383" w:type="dxa"/>
          </w:tcPr>
          <w:p w:rsidR="006E591D" w:rsidRDefault="006E591D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经济</w:t>
            </w:r>
          </w:p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效益好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8</w:t>
            </w:r>
          </w:p>
        </w:tc>
        <w:tc>
          <w:tcPr>
            <w:tcW w:w="84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8</w:t>
            </w:r>
          </w:p>
        </w:tc>
        <w:tc>
          <w:tcPr>
            <w:tcW w:w="1383" w:type="dxa"/>
          </w:tcPr>
          <w:p w:rsidR="006E591D" w:rsidRDefault="006E591D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</w:p>
        </w:tc>
      </w:tr>
      <w:tr w:rsidR="006E591D">
        <w:trPr>
          <w:trHeight w:val="90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社会</w:t>
            </w:r>
          </w:p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效益好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8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8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60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无污染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91D" w:rsidRDefault="006E591D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02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影响</w:t>
            </w:r>
          </w:p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可持续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84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nil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02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社会满意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  <w:p w:rsidR="006E591D" w:rsidRDefault="006E591D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成本</w:t>
            </w:r>
          </w:p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得到控制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vAlign w:val="center"/>
          </w:tcPr>
          <w:p w:rsidR="006E591D" w:rsidRDefault="006E591D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社会</w:t>
            </w:r>
          </w:p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成本控制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bottom w:val="nil"/>
            </w:tcBorders>
            <w:vAlign w:val="center"/>
          </w:tcPr>
          <w:p w:rsidR="006E591D" w:rsidRDefault="006E591D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环境</w:t>
            </w:r>
          </w:p>
          <w:p w:rsidR="006E591D" w:rsidRDefault="001B6B8E">
            <w:pPr>
              <w:jc w:val="center"/>
              <w:rPr>
                <w:rFonts w:ascii="仿宋_GB2312" w:eastAsia="仿宋_GB2312" w:hAnsi="仿宋_GB2312"/>
                <w:sz w:val="20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CN"/>
              </w:rPr>
              <w:t>得到保护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E591D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总分</w:t>
            </w:r>
            <w:proofErr w:type="spellEnd"/>
          </w:p>
        </w:tc>
        <w:tc>
          <w:tcPr>
            <w:tcW w:w="809" w:type="dxa"/>
            <w:vAlign w:val="center"/>
          </w:tcPr>
          <w:p w:rsidR="006E591D" w:rsidRDefault="001B6B8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6E591D" w:rsidRDefault="001B6B8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6E591D" w:rsidRDefault="006E591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6E591D" w:rsidRDefault="001B6B8E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6E591D" w:rsidRDefault="006E591D">
      <w:pPr>
        <w:ind w:firstLine="420"/>
        <w:rPr>
          <w:rFonts w:ascii="宋体" w:eastAsia="宋体" w:hAnsi="宋体" w:cs="宋体"/>
          <w:lang w:eastAsia="zh-CN"/>
        </w:rPr>
      </w:pPr>
    </w:p>
    <w:p w:rsidR="006E591D" w:rsidRDefault="001B6B8E">
      <w:pPr>
        <w:rPr>
          <w:rFonts w:ascii="仿宋_GB2312" w:eastAsia="仿宋_GB2312" w:hAnsi="宋体" w:cs="宋体"/>
          <w:lang w:eastAsia="zh-CN"/>
        </w:rPr>
        <w:sectPr w:rsidR="006E591D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填表人：陈硕</w:t>
      </w:r>
      <w:r>
        <w:rPr>
          <w:rFonts w:ascii="仿宋_GB2312" w:eastAsia="仿宋_GB2312" w:hAnsi="宋体" w:cs="宋体"/>
          <w:lang w:eastAsia="zh-CN"/>
        </w:rPr>
        <w:t xml:space="preserve">       </w:t>
      </w:r>
      <w:r>
        <w:rPr>
          <w:rFonts w:ascii="仿宋_GB2312" w:eastAsia="仿宋_GB2312" w:hAnsi="宋体" w:cs="宋体" w:hint="eastAsia"/>
          <w:lang w:eastAsia="zh-CN"/>
        </w:rPr>
        <w:t>填报日期：2022.12.31</w:t>
      </w:r>
      <w:r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 w:hint="eastAsia"/>
          <w:lang w:eastAsia="zh-CN"/>
        </w:rPr>
        <w:t>联系电话：15115051273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>单位负责人签字:</w:t>
      </w:r>
    </w:p>
    <w:p w:rsidR="006E591D" w:rsidRDefault="001B6B8E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</w:p>
    <w:p w:rsidR="006E591D" w:rsidRDefault="006E591D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6E591D" w:rsidRDefault="006E591D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6E591D" w:rsidRDefault="001B6B8E">
      <w:pPr>
        <w:ind w:firstLine="88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汨罗市</w:t>
      </w:r>
      <w:proofErr w:type="gramStart"/>
      <w:r>
        <w:rPr>
          <w:rFonts w:ascii="方正小标宋简体" w:eastAsia="方正小标宋简体" w:hint="eastAsia"/>
          <w:sz w:val="44"/>
          <w:szCs w:val="44"/>
          <w:lang w:eastAsia="zh-CN"/>
        </w:rPr>
        <w:t>弼</w:t>
      </w:r>
      <w:proofErr w:type="gramEnd"/>
      <w:r>
        <w:rPr>
          <w:rFonts w:ascii="方正小标宋简体" w:eastAsia="方正小标宋简体" w:hint="eastAsia"/>
          <w:sz w:val="44"/>
          <w:szCs w:val="44"/>
          <w:lang w:eastAsia="zh-CN"/>
        </w:rPr>
        <w:t>时镇人民政府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6E591D" w:rsidRDefault="001B6B8E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6E591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E591D" w:rsidRDefault="001B6B8E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部门(单位)名称：汨罗市</w:t>
      </w:r>
      <w:proofErr w:type="gramStart"/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弼</w:t>
      </w:r>
      <w:proofErr w:type="gramEnd"/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时镇人民政府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6E591D" w:rsidRDefault="00AC23B1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2023</w:t>
      </w:r>
      <w:r w:rsidR="001B6B8E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年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6</w:t>
      </w:r>
      <w:r w:rsidR="001B6B8E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月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5</w:t>
      </w:r>
      <w:r w:rsidR="001B6B8E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6E591D" w:rsidRDefault="001B6B8E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6E591D" w:rsidRDefault="006E591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E591D" w:rsidRDefault="006E591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E591D" w:rsidRDefault="006E591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E591D" w:rsidRDefault="006E591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E591D" w:rsidRDefault="006E591D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6E591D" w:rsidRDefault="00E33046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6E591D" w:rsidRDefault="001B6B8E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年度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汨罗市</w:t>
      </w:r>
      <w:proofErr w:type="gramStart"/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弼</w:t>
      </w:r>
      <w:proofErr w:type="gramEnd"/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时镇人民政府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整体支出绩效</w:t>
      </w:r>
    </w:p>
    <w:p w:rsidR="006E591D" w:rsidRDefault="001B6B8E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自</w:t>
      </w:r>
      <w:r>
        <w:rPr>
          <w:rFonts w:ascii="黑体" w:eastAsia="黑体" w:hAnsi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评</w:t>
      </w:r>
      <w:r>
        <w:rPr>
          <w:rFonts w:ascii="黑体" w:eastAsia="黑体" w:hAnsi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报</w:t>
      </w:r>
      <w:r>
        <w:rPr>
          <w:rFonts w:ascii="黑体" w:eastAsia="黑体" w:hAnsi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告</w:t>
      </w:r>
    </w:p>
    <w:p w:rsidR="006E591D" w:rsidRDefault="006E591D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E591D" w:rsidRDefault="001B6B8E">
      <w:pPr>
        <w:numPr>
          <w:ilvl w:val="0"/>
          <w:numId w:val="1"/>
        </w:numPr>
        <w:spacing w:before="211" w:line="224" w:lineRule="auto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6E591D" w:rsidRDefault="001B6B8E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弼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时镇人民镇府包含政府机关及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7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个二级机构。包含政府机关、公共文化和社会事业发展中心、劳动就业和社会保障服务中心、安全生产监督管理站、农技推广服务中心、林业工作站、水利工作站、司法所。</w:t>
      </w:r>
    </w:p>
    <w:p w:rsidR="006E591D" w:rsidRDefault="001B6B8E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部门（单位）整体支出规模、使用方向和主要内容、涉及范围等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弼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时镇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年预算总支出为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4636.89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万元。为基本支出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1611.33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万元，其中人员支出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1172.10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万元，公用支出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439.23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万元；项目支出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3025.56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</w:t>
      </w:r>
    </w:p>
    <w:p w:rsidR="006E591D" w:rsidRDefault="001B6B8E">
      <w:pPr>
        <w:numPr>
          <w:ilvl w:val="0"/>
          <w:numId w:val="1"/>
        </w:numPr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一般公共预算支出情况</w:t>
      </w:r>
    </w:p>
    <w:p w:rsidR="006E591D" w:rsidRDefault="001B6B8E" w:rsidP="00AC23B1">
      <w:pPr>
        <w:pStyle w:val="a6"/>
        <w:numPr>
          <w:ilvl w:val="0"/>
          <w:numId w:val="2"/>
        </w:numPr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6E591D" w:rsidRDefault="001B6B8E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年保障单位机构正常运转、完成日常工作任务而发生的各项支出为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1611.33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万元，包括人员基本工资、津贴补贴等人员经费以及办公费、印刷费、水电费、办公设备购置等。“三公”经费为公务接待费共计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21.80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万元，主要用于公务接待。</w:t>
      </w:r>
    </w:p>
    <w:p w:rsidR="006E591D" w:rsidRDefault="001B6B8E">
      <w:pPr>
        <w:pStyle w:val="a6"/>
        <w:numPr>
          <w:ilvl w:val="0"/>
          <w:numId w:val="2"/>
        </w:numPr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6E591D" w:rsidRDefault="001B6B8E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弼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时镇人民政府项目支出为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3025.56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万元，包括一般公共服务支出，文化旅游体育与传媒支出，社会保障和就业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支出，卫生健康支出，节能环保支出，城乡社区支出，农林水支出，住房保障支出等。</w:t>
      </w:r>
    </w:p>
    <w:p w:rsidR="006E591D" w:rsidRDefault="001B6B8E">
      <w:pPr>
        <w:numPr>
          <w:ilvl w:val="0"/>
          <w:numId w:val="1"/>
        </w:numPr>
        <w:spacing w:line="600" w:lineRule="exact"/>
        <w:ind w:firstLine="640"/>
        <w:jc w:val="both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政府性基金预算支出情况</w:t>
      </w:r>
    </w:p>
    <w:p w:rsidR="006E591D" w:rsidRDefault="001B6B8E">
      <w:pPr>
        <w:pStyle w:val="Default"/>
        <w:spacing w:line="600" w:lineRule="exact"/>
        <w:ind w:firstLineChars="200" w:firstLine="640"/>
        <w:rPr>
          <w:rFonts w:ascii="宋体" w:eastAsia="宋体" w:hAnsi="宋体" w:cs="宋体"/>
          <w:sz w:val="30"/>
          <w:szCs w:val="30"/>
        </w:rPr>
      </w:pP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2022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年度政府性基金预算财政拨款收入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1530.53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万元；年初结转和结余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0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万元；支出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1530.53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万元，其中基本支出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0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万元，项目支出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1530.53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万元；年末结转和结余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0</w:t>
      </w:r>
      <w:r>
        <w:rPr>
          <w:rFonts w:ascii="Times New Roman" w:eastAsia="仿宋_GB2312" w:hAnsi="Times New Roman" w:cs="Arial" w:hint="eastAsia"/>
          <w:snapToGrid w:val="0"/>
          <w:sz w:val="32"/>
          <w:szCs w:val="32"/>
        </w:rPr>
        <w:t>万元。</w:t>
      </w:r>
    </w:p>
    <w:p w:rsidR="006E591D" w:rsidRDefault="001B6B8E">
      <w:pPr>
        <w:numPr>
          <w:ilvl w:val="0"/>
          <w:numId w:val="1"/>
        </w:numPr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国有资本经营预算支出情况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无</w:t>
      </w:r>
    </w:p>
    <w:p w:rsidR="006E591D" w:rsidRDefault="001B6B8E">
      <w:pPr>
        <w:numPr>
          <w:ilvl w:val="0"/>
          <w:numId w:val="1"/>
        </w:numPr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社会保险基金预算支出情况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无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六、</w:t>
      </w:r>
      <w:r>
        <w:rPr>
          <w:rFonts w:ascii="方正黑体_GBK" w:eastAsia="方正黑体_GBK" w:hint="eastAsia"/>
          <w:sz w:val="32"/>
          <w:szCs w:val="32"/>
          <w:lang w:eastAsia="zh-CN"/>
        </w:rPr>
        <w:t>部门整体支出绩效情况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年，在市委、市政府的正确领导下，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弼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时镇人民政府认真贯彻落实党的二十大精神和省、市经济工作会议精神，务实进取，各项事业健康发展。推动项目攻坚，全力加强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稳资稳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企、综合治税，创优人居环境，攻坚克难抓落实；加大走访帮扶力度，深入开展平安创建，抓实应急安全工作，推进网格公共服务，以民生服务为根本，多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措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并举保证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弼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时镇人民政府所辖社会的稳定；狠抓党员队伍管理，强化基层组织建设，完成了机构改革试点，以党建总揽为引领，夯实了党的基础壮大了党的队伍；把牢常态化监管，统筹多方位协作，强化健康码应用，以常态防控为主导，落实疫情各项责任，抓好疫情的长效机制。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6E591D" w:rsidRDefault="001B6B8E">
      <w:pPr>
        <w:spacing w:line="600" w:lineRule="exact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1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、服务创新工作有待完善，居民自治水平有待提升。</w:t>
      </w:r>
    </w:p>
    <w:p w:rsidR="006E591D" w:rsidRDefault="001B6B8E">
      <w:pPr>
        <w:spacing w:line="600" w:lineRule="exact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、基层财务人员信息相对闭塞，对各项财务制度把握不够精确，导致在报账过程中出现极少数手续不完善的现象。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6E591D" w:rsidRDefault="001B6B8E">
      <w:pPr>
        <w:spacing w:line="600" w:lineRule="exact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、进一步提升服务创新意识，提高居民自治能力与水平。</w:t>
      </w:r>
    </w:p>
    <w:p w:rsidR="006E591D" w:rsidRDefault="001B6B8E">
      <w:pPr>
        <w:spacing w:line="600" w:lineRule="exact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、加强对财务人员的业务培训，进一步规范财务管理工作，不断提高财务人员管理水平。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6E591D" w:rsidRDefault="001B6B8E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已在相关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政务网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eastAsia="zh-CN"/>
        </w:rPr>
        <w:t>公开</w:t>
      </w:r>
    </w:p>
    <w:p w:rsidR="006E591D" w:rsidRDefault="001B6B8E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6E591D" w:rsidRDefault="006E591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E591D" w:rsidRDefault="001B6B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6E591D" w:rsidRDefault="001B6B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6E591D" w:rsidRDefault="001B6B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6E591D" w:rsidRDefault="001B6B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一级项目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支出一张表）</w:t>
      </w:r>
    </w:p>
    <w:p w:rsidR="006E591D" w:rsidRDefault="001B6B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6E591D" w:rsidRDefault="001B6B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6E591D" w:rsidRDefault="001B6B8E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6E591D" w:rsidRDefault="006E591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E591D" w:rsidRDefault="006E591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E591D" w:rsidRDefault="006E591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E591D" w:rsidRDefault="006E591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E591D" w:rsidRDefault="006E591D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E591D" w:rsidRDefault="001B6B8E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附件5</w:t>
      </w:r>
    </w:p>
    <w:p w:rsidR="006E591D" w:rsidRDefault="001B6B8E">
      <w:pPr>
        <w:spacing w:before="201" w:line="578" w:lineRule="exact"/>
        <w:jc w:val="center"/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lastRenderedPageBreak/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proofErr w:type="gramStart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弼</w:t>
      </w:r>
      <w:proofErr w:type="gramEnd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时镇唐家</w:t>
      </w:r>
      <w:proofErr w:type="gramStart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桥直塘</w:t>
      </w:r>
      <w:proofErr w:type="gramEnd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改造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6E591D" w:rsidRDefault="001B6B8E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6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6E591D">
      <w:pPr>
        <w:spacing w:line="247" w:lineRule="auto"/>
        <w:rPr>
          <w:lang w:eastAsia="zh-CN"/>
        </w:rPr>
      </w:pPr>
    </w:p>
    <w:p w:rsidR="006E591D" w:rsidRDefault="001B6B8E">
      <w:pPr>
        <w:pStyle w:val="a3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rFonts w:hint="eastAsia"/>
          <w:spacing w:val="-22"/>
          <w:sz w:val="27"/>
          <w:szCs w:val="27"/>
          <w:u w:val="single"/>
          <w:lang w:eastAsia="zh-CN"/>
        </w:rPr>
        <w:t>汨罗市</w:t>
      </w:r>
      <w:proofErr w:type="gramStart"/>
      <w:r>
        <w:rPr>
          <w:rFonts w:hint="eastAsia"/>
          <w:spacing w:val="-22"/>
          <w:sz w:val="27"/>
          <w:szCs w:val="27"/>
          <w:u w:val="single"/>
          <w:lang w:eastAsia="zh-CN"/>
        </w:rPr>
        <w:t>弼</w:t>
      </w:r>
      <w:proofErr w:type="gramEnd"/>
      <w:r>
        <w:rPr>
          <w:rFonts w:hint="eastAsia"/>
          <w:spacing w:val="-22"/>
          <w:sz w:val="27"/>
          <w:szCs w:val="27"/>
          <w:u w:val="single"/>
          <w:lang w:eastAsia="zh-CN"/>
        </w:rPr>
        <w:t>时镇人民政府</w:t>
      </w:r>
      <w:r>
        <w:rPr>
          <w:spacing w:val="-22"/>
          <w:sz w:val="27"/>
          <w:szCs w:val="27"/>
          <w:u w:val="single"/>
          <w:lang w:eastAsia="zh-CN"/>
        </w:rPr>
        <w:t>(盖章)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6E591D" w:rsidRDefault="006B4C54">
      <w:pPr>
        <w:pStyle w:val="a3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 w:rsidR="001B6B8E">
        <w:rPr>
          <w:spacing w:val="-13"/>
          <w:position w:val="26"/>
          <w:sz w:val="27"/>
          <w:szCs w:val="27"/>
          <w:lang w:eastAsia="zh-CN"/>
        </w:rPr>
        <w:t>年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 w:rsidR="001B6B8E"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5</w:t>
      </w:r>
      <w:r w:rsidR="001B6B8E">
        <w:rPr>
          <w:spacing w:val="-13"/>
          <w:position w:val="26"/>
          <w:sz w:val="27"/>
          <w:szCs w:val="27"/>
          <w:lang w:eastAsia="zh-CN"/>
        </w:rPr>
        <w:t>日</w:t>
      </w:r>
    </w:p>
    <w:p w:rsidR="006E591D" w:rsidRDefault="001B6B8E">
      <w:pPr>
        <w:pStyle w:val="a3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 w:rsidR="006E591D" w:rsidRDefault="006E591D">
      <w:pPr>
        <w:spacing w:line="223" w:lineRule="auto"/>
        <w:rPr>
          <w:sz w:val="24"/>
          <w:szCs w:val="24"/>
          <w:lang w:eastAsia="zh-CN"/>
        </w:rPr>
        <w:sectPr w:rsidR="006E591D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6E591D" w:rsidRDefault="001B6B8E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6E591D" w:rsidRDefault="001B6B8E" w:rsidP="00AC23B1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proofErr w:type="gramStart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5C629C" w:rsidRPr="005C629C" w:rsidRDefault="001B6B8E" w:rsidP="005C629C">
      <w:pPr>
        <w:pStyle w:val="a6"/>
        <w:numPr>
          <w:ilvl w:val="0"/>
          <w:numId w:val="3"/>
        </w:numPr>
        <w:spacing w:line="560" w:lineRule="exact"/>
        <w:ind w:firstLineChars="0"/>
        <w:jc w:val="both"/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</w:pPr>
      <w:r w:rsidRPr="005C629C"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项目支出概况。</w:t>
      </w:r>
    </w:p>
    <w:p w:rsidR="006E591D" w:rsidRPr="005C629C" w:rsidRDefault="001B6B8E" w:rsidP="005C629C">
      <w:pPr>
        <w:pStyle w:val="a6"/>
        <w:spacing w:line="560" w:lineRule="exact"/>
        <w:ind w:left="1312" w:firstLineChars="0" w:firstLine="0"/>
        <w:jc w:val="both"/>
        <w:rPr>
          <w:rFonts w:eastAsia="仿宋_GB2312"/>
          <w:sz w:val="32"/>
          <w:szCs w:val="32"/>
          <w:lang w:eastAsia="zh-CN"/>
        </w:rPr>
      </w:pPr>
      <w:proofErr w:type="gramStart"/>
      <w:r w:rsidRPr="005C629C">
        <w:rPr>
          <w:rFonts w:ascii="宋体" w:eastAsia="仿宋_GB2312" w:hAnsi="宋体" w:cs="宋体" w:hint="eastAsia"/>
          <w:sz w:val="32"/>
          <w:szCs w:val="32"/>
          <w:lang w:eastAsia="zh-CN"/>
        </w:rPr>
        <w:t>弼</w:t>
      </w:r>
      <w:proofErr w:type="gramEnd"/>
      <w:r w:rsidRPr="005C629C">
        <w:rPr>
          <w:rFonts w:ascii="宋体" w:eastAsia="仿宋_GB2312" w:hAnsi="宋体" w:cs="宋体" w:hint="eastAsia"/>
          <w:sz w:val="32"/>
          <w:szCs w:val="32"/>
          <w:lang w:eastAsia="zh-CN"/>
        </w:rPr>
        <w:t>时镇唐家桥麻石护砌、</w:t>
      </w:r>
      <w:proofErr w:type="gramStart"/>
      <w:r w:rsidRPr="005C629C">
        <w:rPr>
          <w:rFonts w:ascii="宋体" w:eastAsia="仿宋_GB2312" w:hAnsi="宋体" w:cs="宋体" w:hint="eastAsia"/>
          <w:sz w:val="32"/>
          <w:szCs w:val="32"/>
          <w:lang w:eastAsia="zh-CN"/>
        </w:rPr>
        <w:t>边坡打</w:t>
      </w:r>
      <w:proofErr w:type="gramEnd"/>
      <w:r w:rsidRPr="005C629C">
        <w:rPr>
          <w:rFonts w:ascii="宋体" w:eastAsia="仿宋_GB2312" w:hAnsi="宋体" w:cs="宋体" w:hint="eastAsia"/>
          <w:sz w:val="32"/>
          <w:szCs w:val="32"/>
          <w:lang w:eastAsia="zh-CN"/>
        </w:rPr>
        <w:t>混凝土、安装混凝排水管、回填土方、清淤泥。</w:t>
      </w:r>
    </w:p>
    <w:p w:rsidR="005C629C" w:rsidRDefault="001B6B8E" w:rsidP="00AC23B1">
      <w:pPr>
        <w:spacing w:line="560" w:lineRule="exact"/>
        <w:ind w:firstLineChars="200" w:firstLine="592"/>
        <w:jc w:val="both"/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</w:p>
    <w:p w:rsidR="006E591D" w:rsidRDefault="001B6B8E" w:rsidP="005C629C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计划安排资金</w:t>
      </w:r>
      <w:r>
        <w:rPr>
          <w:rFonts w:eastAsia="仿宋_GB2312" w:hint="eastAsia"/>
          <w:sz w:val="32"/>
          <w:szCs w:val="32"/>
          <w:lang w:eastAsia="zh-CN"/>
        </w:rPr>
        <w:t>45.44</w:t>
      </w:r>
      <w:r>
        <w:rPr>
          <w:rFonts w:eastAsia="仿宋_GB2312" w:hint="eastAsia"/>
          <w:sz w:val="32"/>
          <w:szCs w:val="32"/>
          <w:lang w:eastAsia="zh-CN"/>
        </w:rPr>
        <w:t>万元，其中省乡村振兴衔接资金</w:t>
      </w:r>
      <w:r>
        <w:rPr>
          <w:rFonts w:eastAsia="仿宋_GB2312" w:hint="eastAsia"/>
          <w:sz w:val="32"/>
          <w:szCs w:val="32"/>
          <w:lang w:eastAsia="zh-CN"/>
        </w:rPr>
        <w:t>45</w:t>
      </w:r>
      <w:r>
        <w:rPr>
          <w:rFonts w:eastAsia="仿宋_GB2312" w:hint="eastAsia"/>
          <w:sz w:val="32"/>
          <w:szCs w:val="32"/>
          <w:lang w:eastAsia="zh-CN"/>
        </w:rPr>
        <w:t>万元，财政负担</w:t>
      </w:r>
      <w:r>
        <w:rPr>
          <w:rFonts w:eastAsia="仿宋_GB2312" w:hint="eastAsia"/>
          <w:sz w:val="32"/>
          <w:szCs w:val="32"/>
          <w:lang w:eastAsia="zh-CN"/>
        </w:rPr>
        <w:t>0.44</w:t>
      </w:r>
      <w:r>
        <w:rPr>
          <w:rFonts w:eastAsia="仿宋_GB2312" w:hint="eastAsia"/>
          <w:sz w:val="32"/>
          <w:szCs w:val="32"/>
          <w:lang w:eastAsia="zh-CN"/>
        </w:rPr>
        <w:t>万元。</w:t>
      </w:r>
    </w:p>
    <w:p w:rsidR="005C629C" w:rsidRDefault="001B6B8E" w:rsidP="005C629C">
      <w:pPr>
        <w:pStyle w:val="a3"/>
        <w:numPr>
          <w:ilvl w:val="0"/>
          <w:numId w:val="5"/>
        </w:numPr>
        <w:spacing w:line="560" w:lineRule="exact"/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项目支出绩效目标完成程度</w:t>
      </w: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。</w:t>
      </w:r>
    </w:p>
    <w:p w:rsidR="006E591D" w:rsidRDefault="001B6B8E" w:rsidP="005C629C">
      <w:pPr>
        <w:pStyle w:val="a3"/>
        <w:spacing w:line="560" w:lineRule="exact"/>
        <w:ind w:left="1312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完成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100%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，效果良好</w:t>
      </w:r>
      <w:r w:rsidR="005C629C">
        <w:rPr>
          <w:rFonts w:eastAsia="仿宋_GB2312" w:hint="eastAsia"/>
          <w:sz w:val="32"/>
          <w:szCs w:val="32"/>
          <w:lang w:eastAsia="zh-CN"/>
        </w:rPr>
        <w:t>。</w:t>
      </w:r>
    </w:p>
    <w:p w:rsidR="003C5C17" w:rsidRDefault="001B6B8E" w:rsidP="00AC23B1">
      <w:pPr>
        <w:spacing w:line="560" w:lineRule="exact"/>
        <w:ind w:firstLineChars="200" w:firstLine="592"/>
        <w:outlineLvl w:val="0"/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。</w:t>
      </w:r>
    </w:p>
    <w:p w:rsidR="003C5C17" w:rsidRDefault="003C5C17" w:rsidP="003C5C17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按要求编报绩效目标的项目实施动态跟踪，按要求开展项目支出绩效运行监控；纳入绩效运行监控管理的项目监控情况良好。我单位建立了基本能全面覆盖的管理制度，并通过管理制度进行了明确的权责划分，严格执行项目申报制，立项评审制、监督检查制、验收制、合同制。</w:t>
      </w:r>
    </w:p>
    <w:p w:rsidR="005C629C" w:rsidRDefault="001B6B8E" w:rsidP="00AC23B1">
      <w:pPr>
        <w:spacing w:line="560" w:lineRule="exact"/>
        <w:ind w:firstLineChars="200" w:firstLine="592"/>
        <w:outlineLvl w:val="0"/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。</w:t>
      </w:r>
    </w:p>
    <w:p w:rsidR="006E591D" w:rsidRDefault="001B6B8E" w:rsidP="005C629C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符合国家质量检验标准和本合同约定的合格标准。</w:t>
      </w:r>
    </w:p>
    <w:p w:rsidR="006E591D" w:rsidRDefault="001B6B8E" w:rsidP="00AC23B1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 w:rsidR="003C5C17" w:rsidRDefault="003C5C17" w:rsidP="003C5C17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项目绩效预期目标均已达成，群众满意度为</w:t>
      </w: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100%</w:t>
      </w:r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6E591D" w:rsidRDefault="001B6B8E" w:rsidP="00AC23B1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</w:t>
      </w:r>
      <w:bookmarkStart w:id="0" w:name="_GoBack"/>
      <w:bookmarkEnd w:id="0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要经验及做法、存在的问题及原因分析</w:t>
      </w:r>
    </w:p>
    <w:p w:rsidR="006E591D" w:rsidRDefault="001B6B8E">
      <w:pPr>
        <w:pStyle w:val="a3"/>
        <w:spacing w:line="560" w:lineRule="exact"/>
        <w:ind w:firstLineChars="200" w:firstLine="640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无</w:t>
      </w:r>
    </w:p>
    <w:p w:rsidR="006E591D" w:rsidRDefault="001B6B8E"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有关建议</w:t>
      </w:r>
      <w:proofErr w:type="spellEnd"/>
    </w:p>
    <w:p w:rsidR="006E591D" w:rsidRDefault="001B6B8E">
      <w:pPr>
        <w:spacing w:line="560" w:lineRule="exact"/>
        <w:ind w:left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lastRenderedPageBreak/>
        <w:t>无</w:t>
      </w:r>
    </w:p>
    <w:p w:rsidR="006E591D" w:rsidRDefault="001B6B8E"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其他需要说明的问题</w:t>
      </w:r>
      <w:proofErr w:type="spellEnd"/>
    </w:p>
    <w:p w:rsidR="006E591D" w:rsidRDefault="001B6B8E">
      <w:pPr>
        <w:spacing w:line="560" w:lineRule="exact"/>
        <w:ind w:left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无</w:t>
      </w:r>
    </w:p>
    <w:sectPr w:rsidR="006E591D" w:rsidSect="006E591D">
      <w:footerReference w:type="default" r:id="rId15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A3" w:rsidRDefault="00501FA3">
      <w:r>
        <w:separator/>
      </w:r>
    </w:p>
  </w:endnote>
  <w:endnote w:type="continuationSeparator" w:id="0">
    <w:p w:rsidR="00501FA3" w:rsidRDefault="0050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E591D" w:rsidRDefault="00E33046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B6B8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B6B8E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1B6B8E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E591D" w:rsidRDefault="006E591D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E591D" w:rsidRDefault="00E33046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6E591D" w:rsidRDefault="006E591D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1" w:rsidRDefault="00AC23B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6E591D" w:rsidRDefault="00E33046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6E591D" w:rsidRDefault="006E591D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1D" w:rsidRDefault="006E591D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1D" w:rsidRDefault="006E591D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A3" w:rsidRDefault="00501FA3">
      <w:r>
        <w:separator/>
      </w:r>
    </w:p>
  </w:footnote>
  <w:footnote w:type="continuationSeparator" w:id="0">
    <w:p w:rsidR="00501FA3" w:rsidRDefault="00501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1" w:rsidRDefault="00AC23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1" w:rsidRDefault="00AC23B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1" w:rsidRDefault="00AC23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4CF1"/>
    <w:multiLevelType w:val="singleLevel"/>
    <w:tmpl w:val="54D54C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935EA8"/>
    <w:multiLevelType w:val="hybridMultilevel"/>
    <w:tmpl w:val="9D9CE53E"/>
    <w:lvl w:ilvl="0" w:tplc="1BE6A4A4">
      <w:start w:val="1"/>
      <w:numFmt w:val="japaneseCounting"/>
      <w:lvlText w:val="(%1)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2">
    <w:nsid w:val="70036101"/>
    <w:multiLevelType w:val="hybridMultilevel"/>
    <w:tmpl w:val="A7EA2CBE"/>
    <w:lvl w:ilvl="0" w:tplc="097424D0">
      <w:start w:val="3"/>
      <w:numFmt w:val="japaneseCounting"/>
      <w:lvlText w:val="(%1）"/>
      <w:lvlJc w:val="left"/>
      <w:pPr>
        <w:ind w:left="2092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52" w:hanging="420"/>
      </w:pPr>
    </w:lvl>
    <w:lvl w:ilvl="2" w:tplc="0409001B" w:tentative="1">
      <w:start w:val="1"/>
      <w:numFmt w:val="lowerRoman"/>
      <w:lvlText w:val="%3."/>
      <w:lvlJc w:val="right"/>
      <w:pPr>
        <w:ind w:left="2572" w:hanging="420"/>
      </w:pPr>
    </w:lvl>
    <w:lvl w:ilvl="3" w:tplc="0409000F" w:tentative="1">
      <w:start w:val="1"/>
      <w:numFmt w:val="decimal"/>
      <w:lvlText w:val="%4."/>
      <w:lvlJc w:val="left"/>
      <w:pPr>
        <w:ind w:left="2992" w:hanging="420"/>
      </w:pPr>
    </w:lvl>
    <w:lvl w:ilvl="4" w:tplc="04090019" w:tentative="1">
      <w:start w:val="1"/>
      <w:numFmt w:val="lowerLetter"/>
      <w:lvlText w:val="%5)"/>
      <w:lvlJc w:val="left"/>
      <w:pPr>
        <w:ind w:left="3412" w:hanging="420"/>
      </w:pPr>
    </w:lvl>
    <w:lvl w:ilvl="5" w:tplc="0409001B" w:tentative="1">
      <w:start w:val="1"/>
      <w:numFmt w:val="lowerRoman"/>
      <w:lvlText w:val="%6."/>
      <w:lvlJc w:val="right"/>
      <w:pPr>
        <w:ind w:left="3832" w:hanging="420"/>
      </w:pPr>
    </w:lvl>
    <w:lvl w:ilvl="6" w:tplc="0409000F" w:tentative="1">
      <w:start w:val="1"/>
      <w:numFmt w:val="decimal"/>
      <w:lvlText w:val="%7."/>
      <w:lvlJc w:val="left"/>
      <w:pPr>
        <w:ind w:left="4252" w:hanging="420"/>
      </w:pPr>
    </w:lvl>
    <w:lvl w:ilvl="7" w:tplc="04090019" w:tentative="1">
      <w:start w:val="1"/>
      <w:numFmt w:val="lowerLetter"/>
      <w:lvlText w:val="%8)"/>
      <w:lvlJc w:val="left"/>
      <w:pPr>
        <w:ind w:left="4672" w:hanging="420"/>
      </w:pPr>
    </w:lvl>
    <w:lvl w:ilvl="8" w:tplc="0409001B" w:tentative="1">
      <w:start w:val="1"/>
      <w:numFmt w:val="lowerRoman"/>
      <w:lvlText w:val="%9."/>
      <w:lvlJc w:val="right"/>
      <w:pPr>
        <w:ind w:left="5092" w:hanging="420"/>
      </w:pPr>
    </w:lvl>
  </w:abstractNum>
  <w:abstractNum w:abstractNumId="3">
    <w:nsid w:val="72D044C7"/>
    <w:multiLevelType w:val="singleLevel"/>
    <w:tmpl w:val="72D044C7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 w:val="0"/>
        <w:bCs w:val="0"/>
        <w:color w:val="auto"/>
      </w:rPr>
    </w:lvl>
  </w:abstractNum>
  <w:abstractNum w:abstractNumId="4">
    <w:nsid w:val="79B146F8"/>
    <w:multiLevelType w:val="hybridMultilevel"/>
    <w:tmpl w:val="A7841A3E"/>
    <w:lvl w:ilvl="0" w:tplc="E5A69D78">
      <w:start w:val="3"/>
      <w:numFmt w:val="japaneseCounting"/>
      <w:lvlText w:val="（%1）"/>
      <w:lvlJc w:val="left"/>
      <w:pPr>
        <w:ind w:left="18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1" w:hanging="420"/>
      </w:pPr>
    </w:lvl>
    <w:lvl w:ilvl="2" w:tplc="0409001B" w:tentative="1">
      <w:start w:val="1"/>
      <w:numFmt w:val="lowerRoman"/>
      <w:lvlText w:val="%3."/>
      <w:lvlJc w:val="righ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9" w:tentative="1">
      <w:start w:val="1"/>
      <w:numFmt w:val="lowerLetter"/>
      <w:lvlText w:val="%5)"/>
      <w:lvlJc w:val="left"/>
      <w:pPr>
        <w:ind w:left="2841" w:hanging="420"/>
      </w:pPr>
    </w:lvl>
    <w:lvl w:ilvl="5" w:tplc="0409001B" w:tentative="1">
      <w:start w:val="1"/>
      <w:numFmt w:val="lowerRoman"/>
      <w:lvlText w:val="%6."/>
      <w:lvlJc w:val="righ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9" w:tentative="1">
      <w:start w:val="1"/>
      <w:numFmt w:val="lowerLetter"/>
      <w:lvlText w:val="%8)"/>
      <w:lvlJc w:val="left"/>
      <w:pPr>
        <w:ind w:left="4101" w:hanging="420"/>
      </w:pPr>
    </w:lvl>
    <w:lvl w:ilvl="8" w:tplc="0409001B" w:tentative="1">
      <w:start w:val="1"/>
      <w:numFmt w:val="lowerRoman"/>
      <w:lvlText w:val="%9."/>
      <w:lvlJc w:val="right"/>
      <w:pPr>
        <w:ind w:left="452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Tc4MmQ4MjRhMTFiNzI4ZGZhMDU5ZWM2ZmFiMGZmYzMifQ=="/>
  </w:docVars>
  <w:rsids>
    <w:rsidRoot w:val="00172A27"/>
    <w:rsid w:val="00172A27"/>
    <w:rsid w:val="001B6B8E"/>
    <w:rsid w:val="003C5C17"/>
    <w:rsid w:val="00501FA3"/>
    <w:rsid w:val="005C629C"/>
    <w:rsid w:val="006B4C54"/>
    <w:rsid w:val="006E591D"/>
    <w:rsid w:val="00AC23B1"/>
    <w:rsid w:val="00E33046"/>
    <w:rsid w:val="01AF3811"/>
    <w:rsid w:val="03795BF7"/>
    <w:rsid w:val="05993D33"/>
    <w:rsid w:val="086E756B"/>
    <w:rsid w:val="0ACF37E5"/>
    <w:rsid w:val="0B400BC6"/>
    <w:rsid w:val="0E68228D"/>
    <w:rsid w:val="11F20006"/>
    <w:rsid w:val="14A9555E"/>
    <w:rsid w:val="15276E52"/>
    <w:rsid w:val="165246FB"/>
    <w:rsid w:val="16A4727C"/>
    <w:rsid w:val="19D32FBC"/>
    <w:rsid w:val="1E6A4395"/>
    <w:rsid w:val="21F868E3"/>
    <w:rsid w:val="25557A3D"/>
    <w:rsid w:val="26EA5ED7"/>
    <w:rsid w:val="27A93B82"/>
    <w:rsid w:val="2AE00186"/>
    <w:rsid w:val="308216BE"/>
    <w:rsid w:val="31315573"/>
    <w:rsid w:val="34FE1149"/>
    <w:rsid w:val="39D53034"/>
    <w:rsid w:val="3A550786"/>
    <w:rsid w:val="3B7A130F"/>
    <w:rsid w:val="46B54B76"/>
    <w:rsid w:val="4F8B6063"/>
    <w:rsid w:val="52FA3F96"/>
    <w:rsid w:val="55850F17"/>
    <w:rsid w:val="57A55721"/>
    <w:rsid w:val="57AE6D93"/>
    <w:rsid w:val="596516B3"/>
    <w:rsid w:val="5FB623A7"/>
    <w:rsid w:val="604C6429"/>
    <w:rsid w:val="6E3851B0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6E591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6E591D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6E591D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6E59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6E59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E591D"/>
  </w:style>
  <w:style w:type="paragraph" w:styleId="a6">
    <w:name w:val="List Paragraph"/>
    <w:autoRedefine/>
    <w:uiPriority w:val="99"/>
    <w:unhideWhenUsed/>
    <w:qFormat/>
    <w:rsid w:val="006E591D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Default">
    <w:name w:val="Default"/>
    <w:qFormat/>
    <w:rsid w:val="006E591D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7">
    <w:name w:val="Balloon Text"/>
    <w:basedOn w:val="a"/>
    <w:link w:val="Char"/>
    <w:rsid w:val="003C5C17"/>
    <w:rPr>
      <w:sz w:val="18"/>
      <w:szCs w:val="18"/>
    </w:rPr>
  </w:style>
  <w:style w:type="character" w:customStyle="1" w:styleId="Char">
    <w:name w:val="批注框文本 Char"/>
    <w:basedOn w:val="a0"/>
    <w:link w:val="a7"/>
    <w:rsid w:val="003C5C1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681</Words>
  <Characters>3882</Characters>
  <Application>Microsoft Office Word</Application>
  <DocSecurity>0</DocSecurity>
  <Lines>32</Lines>
  <Paragraphs>9</Paragraphs>
  <ScaleCrop>false</ScaleCrop>
  <Company>微软中国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2024-05-21T14:05:00Z</cp:lastPrinted>
  <dcterms:created xsi:type="dcterms:W3CDTF">2024-04-19T21:25:00Z</dcterms:created>
  <dcterms:modified xsi:type="dcterms:W3CDTF">2024-07-31T01:46:00Z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2E45C2160A984811B79C8BF1E9FB1070_13</vt:lpwstr>
  </property>
</Properties>
</file>