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16.89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79.2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11.81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11.81</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c>
          <w:tcPr>
            <w:tcW w:w="1983" w:type="dxa"/>
            <w:gridSpan w:val="2"/>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5.08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73.2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781.64</w:t>
            </w:r>
          </w:p>
        </w:tc>
        <w:tc>
          <w:tcPr>
            <w:tcW w:w="2039"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86</w:t>
            </w:r>
          </w:p>
        </w:tc>
        <w:tc>
          <w:tcPr>
            <w:tcW w:w="1983" w:type="dxa"/>
            <w:gridSpan w:val="2"/>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398.24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395.21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255.68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840" w:firstLineChars="400"/>
              <w:jc w:val="both"/>
              <w:rPr>
                <w:rFonts w:hint="eastAsia" w:ascii="仿宋_GB2312" w:eastAsia="仿宋_GB2312"/>
                <w:kern w:val="0"/>
              </w:rPr>
            </w:pPr>
            <w:r>
              <w:rPr>
                <w:rFonts w:hint="eastAsia" w:ascii="仿宋_GB2312" w:eastAsia="仿宋_GB2312"/>
                <w:kern w:val="0"/>
              </w:rPr>
              <w:t>大要案专项业务费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350.4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21</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840" w:firstLineChars="400"/>
              <w:jc w:val="both"/>
              <w:rPr>
                <w:rFonts w:hint="eastAsia" w:ascii="仿宋_GB2312" w:eastAsia="仿宋_GB2312"/>
                <w:kern w:val="0"/>
              </w:rPr>
            </w:pPr>
            <w:r>
              <w:rPr>
                <w:rFonts w:hint="eastAsia" w:ascii="仿宋_GB2312" w:eastAsia="仿宋_GB2312"/>
                <w:kern w:val="0"/>
                <w:lang w:val="en-US" w:eastAsia="zh-CN"/>
              </w:rPr>
              <w:t>巡察办经费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44.81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840" w:firstLineChars="400"/>
              <w:jc w:val="both"/>
              <w:rPr>
                <w:rFonts w:hint="eastAsia" w:ascii="仿宋_GB2312" w:eastAsia="仿宋_GB2312"/>
                <w:kern w:val="0"/>
                <w:lang w:eastAsia="zh-CN"/>
              </w:rPr>
            </w:pPr>
            <w:r>
              <w:rPr>
                <w:rFonts w:hint="eastAsia" w:ascii="仿宋_GB2312" w:hAnsi="宋体" w:eastAsia="仿宋_GB2312" w:cs="宋体"/>
                <w:kern w:val="0"/>
                <w:lang w:val="en-US" w:eastAsia="zh-CN"/>
              </w:rPr>
              <w:t>纪委专项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386.43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142.56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41.02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31.72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54.93</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70.76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7.4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42.79</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171.62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40</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132.25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1715.38</w:t>
            </w:r>
          </w:p>
        </w:tc>
        <w:tc>
          <w:tcPr>
            <w:tcW w:w="2039" w:type="dxa"/>
            <w:gridSpan w:val="2"/>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val="en-US" w:eastAsia="zh-CN"/>
              </w:rPr>
              <w:t>1617.7</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1960.46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left"/>
              <w:textAlignment w:val="baseline"/>
              <w:rPr>
                <w:rFonts w:hint="eastAsia" w:ascii="仿宋" w:hAnsi="仿宋" w:eastAsia="仿宋" w:cs="仿宋"/>
                <w:snapToGrid w:val="0"/>
                <w:color w:val="000000"/>
                <w:sz w:val="21"/>
                <w:szCs w:val="21"/>
                <w:lang w:val="en-US" w:eastAsia="en-US" w:bidi="ar-SA"/>
              </w:rPr>
            </w:pPr>
            <w:r>
              <w:rPr>
                <w:rFonts w:hint="eastAsia" w:ascii="仿宋" w:hAnsi="仿宋" w:eastAsia="仿宋" w:cs="仿宋"/>
                <w:snapToGrid w:val="0"/>
                <w:color w:val="000000"/>
                <w:sz w:val="21"/>
                <w:szCs w:val="21"/>
                <w:lang w:val="en-US" w:eastAsia="en-US" w:bidi="ar-SA"/>
              </w:rPr>
              <w:t>(一)严格控制一般性费用支出</w:t>
            </w:r>
          </w:p>
          <w:p>
            <w:pPr>
              <w:kinsoku w:val="0"/>
              <w:autoSpaceDE w:val="0"/>
              <w:autoSpaceDN w:val="0"/>
              <w:adjustRightInd w:val="0"/>
              <w:snapToGrid w:val="0"/>
              <w:ind w:firstLine="420"/>
              <w:jc w:val="left"/>
              <w:textAlignment w:val="baseline"/>
              <w:rPr>
                <w:rFonts w:hint="eastAsia" w:ascii="仿宋" w:hAnsi="仿宋" w:eastAsia="仿宋" w:cs="仿宋"/>
                <w:snapToGrid w:val="0"/>
                <w:color w:val="000000"/>
                <w:sz w:val="21"/>
                <w:szCs w:val="21"/>
                <w:lang w:val="en-US" w:eastAsia="en-US" w:bidi="ar-SA"/>
              </w:rPr>
            </w:pPr>
            <w:r>
              <w:rPr>
                <w:rFonts w:hint="eastAsia" w:ascii="仿宋" w:hAnsi="仿宋" w:eastAsia="仿宋" w:cs="仿宋"/>
                <w:snapToGrid w:val="0"/>
                <w:color w:val="000000"/>
                <w:sz w:val="21"/>
                <w:szCs w:val="21"/>
                <w:lang w:val="en-US" w:eastAsia="en-US" w:bidi="ar-SA"/>
              </w:rPr>
              <w:t>一是节约使用办公用品。凡属于政府采购目录内的物品，必须经按市政府采购的相关程序和要求执行。购买日常办公用品时，厉行节约的原则，尽力压缩办公用品、耗材支出。积极推广无纸化办公，打印和复印用纸及打印的一次性讨论稿等能双面使用的要回收使用。正确精心维护办公设备，延长使用寿命，节省办公耗材。</w:t>
            </w:r>
          </w:p>
          <w:p>
            <w:pPr>
              <w:kinsoku w:val="0"/>
              <w:autoSpaceDE w:val="0"/>
              <w:autoSpaceDN w:val="0"/>
              <w:adjustRightInd w:val="0"/>
              <w:snapToGrid w:val="0"/>
              <w:ind w:firstLine="420"/>
              <w:jc w:val="left"/>
              <w:textAlignment w:val="baseline"/>
              <w:rPr>
                <w:rFonts w:hint="eastAsia" w:ascii="仿宋" w:hAnsi="仿宋" w:eastAsia="仿宋" w:cs="仿宋"/>
                <w:snapToGrid w:val="0"/>
                <w:color w:val="000000"/>
                <w:sz w:val="21"/>
                <w:szCs w:val="21"/>
                <w:lang w:val="en-US" w:eastAsia="en-US" w:bidi="ar-SA"/>
              </w:rPr>
            </w:pPr>
            <w:r>
              <w:rPr>
                <w:rFonts w:hint="eastAsia" w:ascii="仿宋" w:hAnsi="仿宋" w:eastAsia="仿宋" w:cs="仿宋"/>
                <w:snapToGrid w:val="0"/>
                <w:color w:val="000000"/>
                <w:sz w:val="21"/>
                <w:szCs w:val="21"/>
                <w:lang w:val="en-US" w:eastAsia="en-US" w:bidi="ar-SA"/>
              </w:rPr>
              <w:t>二是节约用电、用水。尽量减少计算机、打印机、复印机等办公设备的待机电耗。坚持安全用电、规范用电，不使用与工作无关的电器设备.下班必须关闭办公设备电源，养成随手关灯习惯。节约用水，不要出现长流水和跑冒滴漏现象</w:t>
            </w:r>
          </w:p>
          <w:p>
            <w:pPr>
              <w:kinsoku w:val="0"/>
              <w:autoSpaceDE w:val="0"/>
              <w:autoSpaceDN w:val="0"/>
              <w:adjustRightInd w:val="0"/>
              <w:snapToGrid w:val="0"/>
              <w:ind w:firstLine="420"/>
              <w:jc w:val="left"/>
              <w:textAlignment w:val="baseline"/>
              <w:rPr>
                <w:rFonts w:hint="eastAsia" w:ascii="仿宋" w:hAnsi="仿宋" w:eastAsia="仿宋" w:cs="仿宋"/>
                <w:snapToGrid w:val="0"/>
                <w:color w:val="000000"/>
                <w:sz w:val="21"/>
                <w:szCs w:val="21"/>
                <w:lang w:val="en-US" w:eastAsia="en-US" w:bidi="ar-SA"/>
              </w:rPr>
            </w:pPr>
            <w:r>
              <w:rPr>
                <w:rFonts w:hint="eastAsia" w:ascii="仿宋" w:hAnsi="仿宋" w:eastAsia="仿宋" w:cs="仿宋"/>
                <w:snapToGrid w:val="0"/>
                <w:color w:val="000000"/>
                <w:sz w:val="21"/>
                <w:szCs w:val="21"/>
                <w:lang w:val="en-US" w:eastAsia="en-US" w:bidi="ar-SA"/>
              </w:rPr>
              <w:t>(二)严格控制公务接待费用支出</w:t>
            </w:r>
          </w:p>
          <w:p>
            <w:pPr>
              <w:kinsoku w:val="0"/>
              <w:autoSpaceDE w:val="0"/>
              <w:autoSpaceDN w:val="0"/>
              <w:adjustRightInd w:val="0"/>
              <w:snapToGrid w:val="0"/>
              <w:ind w:firstLine="420"/>
              <w:jc w:val="left"/>
              <w:textAlignment w:val="baseline"/>
              <w:rPr>
                <w:rFonts w:hint="eastAsia" w:ascii="仿宋" w:hAnsi="仿宋" w:eastAsia="仿宋" w:cs="仿宋"/>
                <w:snapToGrid w:val="0"/>
                <w:color w:val="000000"/>
                <w:sz w:val="21"/>
                <w:szCs w:val="21"/>
                <w:lang w:val="en-US" w:eastAsia="en-US" w:bidi="ar-SA"/>
              </w:rPr>
            </w:pPr>
            <w:r>
              <w:rPr>
                <w:rFonts w:hint="eastAsia" w:ascii="仿宋" w:hAnsi="仿宋" w:eastAsia="仿宋" w:cs="仿宋"/>
                <w:snapToGrid w:val="0"/>
                <w:color w:val="000000"/>
                <w:sz w:val="21"/>
                <w:szCs w:val="21"/>
                <w:lang w:val="en-US" w:eastAsia="en-US" w:bidi="ar-SA"/>
              </w:rPr>
              <w:t>一是严格公务接待管理。严格按照中央八项规定要求。本着热情、周到、节约的原则，控制公务接待标准，认真做好接待工作，牢固树立市纪委良好的对外形象。上级部门来我委调研和检查的公务接待活动，一切从简，原则上在机关食堂安排工作作餐，坚决杜绝铺张浪费。召开各类会议，原则上不挂会标，一律不摆鲜花水果，会议力求精简高效。</w:t>
            </w:r>
          </w:p>
          <w:p>
            <w:pPr>
              <w:kinsoku w:val="0"/>
              <w:autoSpaceDE w:val="0"/>
              <w:autoSpaceDN w:val="0"/>
              <w:adjustRightInd w:val="0"/>
              <w:snapToGrid w:val="0"/>
              <w:ind w:firstLine="420"/>
              <w:jc w:val="left"/>
              <w:textAlignment w:val="baseline"/>
              <w:rPr>
                <w:rFonts w:hint="eastAsia" w:ascii="仿宋" w:hAnsi="仿宋" w:eastAsia="仿宋" w:cs="仿宋"/>
                <w:snapToGrid w:val="0"/>
                <w:color w:val="000000"/>
                <w:sz w:val="21"/>
                <w:szCs w:val="21"/>
                <w:lang w:val="en-US" w:eastAsia="en-US" w:bidi="ar-SA"/>
              </w:rPr>
            </w:pPr>
            <w:r>
              <w:rPr>
                <w:rFonts w:hint="eastAsia" w:ascii="仿宋" w:hAnsi="仿宋" w:eastAsia="仿宋" w:cs="仿宋"/>
                <w:snapToGrid w:val="0"/>
                <w:color w:val="000000"/>
                <w:sz w:val="21"/>
                <w:szCs w:val="21"/>
                <w:lang w:val="en-US" w:eastAsia="en-US" w:bidi="ar-SA"/>
              </w:rPr>
              <w:t>二是严格管理各类因公差旅费支出。严格执行中央、省、岳阳市和我市市委市政府的有关规定，管理各类因公差旅费支出。</w:t>
            </w:r>
          </w:p>
          <w:p>
            <w:pPr>
              <w:kinsoku w:val="0"/>
              <w:autoSpaceDE w:val="0"/>
              <w:autoSpaceDN w:val="0"/>
              <w:adjustRightInd w:val="0"/>
              <w:snapToGrid w:val="0"/>
              <w:ind w:firstLine="420"/>
              <w:jc w:val="left"/>
              <w:textAlignment w:val="baseline"/>
              <w:rPr>
                <w:rFonts w:hint="eastAsia" w:ascii="仿宋" w:hAnsi="仿宋" w:eastAsia="仿宋" w:cs="仿宋"/>
                <w:snapToGrid w:val="0"/>
                <w:color w:val="000000"/>
                <w:sz w:val="21"/>
                <w:szCs w:val="21"/>
                <w:lang w:val="en-US" w:eastAsia="en-US" w:bidi="ar-SA"/>
              </w:rPr>
            </w:pPr>
            <w:r>
              <w:rPr>
                <w:rFonts w:hint="eastAsia" w:ascii="仿宋" w:hAnsi="仿宋" w:eastAsia="仿宋" w:cs="仿宋"/>
                <w:snapToGrid w:val="0"/>
                <w:color w:val="000000"/>
                <w:sz w:val="21"/>
                <w:szCs w:val="21"/>
                <w:lang w:val="en-US" w:eastAsia="en-US" w:bidi="ar-SA"/>
              </w:rPr>
              <w:t>(三)严格控制公务用车费用支出</w:t>
            </w:r>
          </w:p>
          <w:p>
            <w:pPr>
              <w:kinsoku w:val="0"/>
              <w:autoSpaceDE w:val="0"/>
              <w:autoSpaceDN w:val="0"/>
              <w:adjustRightInd w:val="0"/>
              <w:snapToGrid w:val="0"/>
              <w:ind w:firstLine="420"/>
              <w:jc w:val="left"/>
              <w:textAlignment w:val="baseline"/>
              <w:rPr>
                <w:rFonts w:ascii="Arial" w:hAnsi="Arial" w:eastAsia="Arial" w:cs="Arial"/>
                <w:snapToGrid w:val="0"/>
                <w:color w:val="000000"/>
                <w:sz w:val="21"/>
                <w:szCs w:val="21"/>
                <w:lang w:val="en-US" w:eastAsia="en-US" w:bidi="ar-SA"/>
              </w:rPr>
            </w:pPr>
            <w:r>
              <w:rPr>
                <w:rFonts w:hint="eastAsia" w:ascii="仿宋" w:hAnsi="仿宋" w:eastAsia="仿宋" w:cs="仿宋"/>
                <w:snapToGrid w:val="0"/>
                <w:color w:val="000000"/>
                <w:sz w:val="21"/>
                <w:szCs w:val="21"/>
                <w:lang w:val="en-US" w:eastAsia="en-US" w:bidi="ar-SA"/>
              </w:rPr>
              <w:t>严格执行公务用车编制管理规定和配备使用标准，认真落实公务车辆三定点(定点保险、定点加油、定点维修)和办公室统一管理、调派使用制度车辆运行成本。不同科室需外出办事时，尽可能集中同线路外出办公人员一同外出。</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狄长霞</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2023年1月4日</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07305222782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吴朝霞</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Borders>
            <w:top w:val="none" w:sz="0" w:space="0"/>
            <w:left w:val="none" w:sz="0" w:space="0"/>
            <w:bottom w:val="none" w:sz="0" w:space="0"/>
            <w:right w:val="none" w:sz="0" w:space="0"/>
          </w:pgBorders>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ascii="仿宋_GB2312" w:eastAsia="仿宋_GB2312"/>
                <w:kern w:val="0"/>
              </w:rPr>
            </w:pPr>
            <w:r>
              <w:rPr>
                <w:rFonts w:hint="eastAsia" w:ascii="仿宋_GB2312" w:eastAsia="仿宋_GB2312"/>
                <w:kern w:val="0"/>
              </w:rPr>
              <w:t xml:space="preserve"> 中国共产党汨罗市纪律检查委员会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1703.79</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2358.7</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2358.7</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lang w:eastAsia="zh-CN"/>
              </w:rPr>
            </w:pPr>
            <w:r>
              <w:rPr>
                <w:rFonts w:hint="eastAsia" w:ascii="仿宋_GB2312" w:hAnsi="宋体" w:eastAsia="仿宋_GB2312" w:cs="宋体"/>
                <w:kern w:val="0"/>
                <w:lang w:eastAsia="zh-CN"/>
              </w:rPr>
              <w:t>其中：一般公共预算：2358.7</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1960.46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398.24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ascii="仿宋_GB2312" w:eastAsia="仿宋_GB2312"/>
                <w:kern w:val="0"/>
              </w:rPr>
            </w:pPr>
            <w:r>
              <w:rPr>
                <w:rFonts w:hint="eastAsia" w:ascii="仿宋_GB2312" w:eastAsia="仿宋_GB2312"/>
                <w:kern w:val="0"/>
              </w:rPr>
              <w:t>聚焦“国之大者”，政治监督更加精准；坚持全域推进，清廉底色更加靓丽；一体推进“三不”，惩治腐败更加有力；强化问题导向，日常监督更加落细；注重自身建设，纪检干部更加过硬。</w:t>
            </w:r>
          </w:p>
        </w:tc>
        <w:tc>
          <w:tcPr>
            <w:tcW w:w="4260" w:type="dxa"/>
            <w:gridSpan w:val="4"/>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tcBorders>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运用四种形态，加大查办案件力度，做到有案必查。当年结案率90%以上</w:t>
            </w:r>
          </w:p>
        </w:tc>
        <w:tc>
          <w:tcPr>
            <w:tcW w:w="1298" w:type="dxa"/>
            <w:tcBorders>
              <w:bottom w:val="single" w:color="000000" w:sz="4" w:space="0"/>
            </w:tcBorders>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100%</w:t>
            </w:r>
          </w:p>
        </w:tc>
        <w:tc>
          <w:tcPr>
            <w:tcW w:w="1269" w:type="dxa"/>
            <w:tcBorders>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全年共立案209件，给予党纪政务处分195人。</w:t>
            </w:r>
          </w:p>
        </w:tc>
        <w:tc>
          <w:tcPr>
            <w:tcW w:w="699" w:type="dxa"/>
            <w:tcBorders>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869" w:type="dxa"/>
            <w:tcBorders>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w:t>
            </w:r>
          </w:p>
        </w:tc>
        <w:tc>
          <w:tcPr>
            <w:tcW w:w="1423" w:type="dxa"/>
            <w:tcBorders>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加大四风问题纠治力度</w:t>
            </w:r>
          </w:p>
        </w:tc>
        <w:tc>
          <w:tcPr>
            <w:tcW w:w="1298" w:type="dxa"/>
            <w:tcBorders>
              <w:top w:val="single" w:color="000000" w:sz="4" w:space="0"/>
              <w:bottom w:val="single" w:color="000000" w:sz="4" w:space="0"/>
            </w:tcBorders>
            <w:vAlign w:val="center"/>
          </w:tcPr>
          <w:p>
            <w:pPr>
              <w:spacing w:line="240" w:lineRule="auto"/>
              <w:ind w:firstLine="420"/>
              <w:jc w:val="both"/>
              <w:rPr>
                <w:rFonts w:ascii="仿宋_GB2312" w:eastAsia="仿宋_GB2312"/>
                <w:kern w:val="0"/>
              </w:rPr>
            </w:pPr>
            <w:r>
              <w:rPr>
                <w:rFonts w:hint="eastAsia" w:ascii="仿宋_GB2312" w:eastAsia="仿宋_GB2312"/>
                <w:kern w:val="0"/>
                <w:lang w:val="en-US" w:eastAsia="zh-CN"/>
              </w:rPr>
              <w:t>100%</w:t>
            </w:r>
          </w:p>
        </w:tc>
        <w:tc>
          <w:tcPr>
            <w:tcW w:w="126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w:t>
            </w:r>
          </w:p>
        </w:tc>
        <w:tc>
          <w:tcPr>
            <w:tcW w:w="1423" w:type="dxa"/>
            <w:tcBorders>
              <w:top w:val="single" w:color="000000" w:sz="4" w:space="0"/>
              <w:bottom w:val="single" w:color="000000" w:sz="4" w:space="0"/>
            </w:tcBorders>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2"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开展巡察人员培训，年内按照岳阳统一部署，开展异地交叉巡察3批次8个单位，自行组织常规巡察1轮预计12个单位，共常规巡察20个单位。</w:t>
            </w:r>
          </w:p>
        </w:tc>
        <w:tc>
          <w:tcPr>
            <w:tcW w:w="1298" w:type="dxa"/>
            <w:tcBorders>
              <w:top w:val="single" w:color="000000" w:sz="4" w:space="0"/>
              <w:bottom w:val="single" w:color="000000" w:sz="4" w:space="0"/>
            </w:tcBorders>
            <w:vAlign w:val="center"/>
          </w:tcPr>
          <w:p>
            <w:pPr>
              <w:spacing w:line="240" w:lineRule="auto"/>
              <w:ind w:firstLine="420"/>
              <w:jc w:val="both"/>
              <w:rPr>
                <w:rFonts w:ascii="仿宋_GB2312" w:eastAsia="仿宋_GB2312"/>
                <w:kern w:val="0"/>
              </w:rPr>
            </w:pPr>
            <w:r>
              <w:rPr>
                <w:rFonts w:hint="eastAsia" w:ascii="仿宋_GB2312" w:eastAsia="仿宋_GB2312"/>
                <w:kern w:val="0"/>
                <w:lang w:val="en-US" w:eastAsia="zh-CN"/>
              </w:rPr>
              <w:t>100%</w:t>
            </w:r>
          </w:p>
        </w:tc>
        <w:tc>
          <w:tcPr>
            <w:tcW w:w="126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开展了三轮常规巡察，推动立行立改问题25个，移交问题线索30件，已处理处分7人。开展村（社区）巡察，移交问题线索8件，推动立行立改问题79个。</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7</w:t>
            </w:r>
          </w:p>
        </w:tc>
        <w:tc>
          <w:tcPr>
            <w:tcW w:w="1423" w:type="dxa"/>
            <w:tcBorders>
              <w:top w:val="single" w:color="000000" w:sz="4" w:space="0"/>
              <w:bottom w:val="single" w:color="000000" w:sz="4" w:space="0"/>
            </w:tcBorders>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开展警示教育，每年至少组织一次全市性活动</w:t>
            </w:r>
          </w:p>
        </w:tc>
        <w:tc>
          <w:tcPr>
            <w:tcW w:w="1298" w:type="dxa"/>
            <w:tcBorders>
              <w:top w:val="single" w:color="000000" w:sz="4" w:space="0"/>
              <w:bottom w:val="single" w:color="000000" w:sz="4" w:space="0"/>
            </w:tcBorders>
            <w:vAlign w:val="center"/>
          </w:tcPr>
          <w:p>
            <w:pPr>
              <w:spacing w:line="240" w:lineRule="auto"/>
              <w:ind w:firstLine="420"/>
              <w:jc w:val="both"/>
              <w:rPr>
                <w:rFonts w:ascii="仿宋_GB2312" w:eastAsia="仿宋_GB2312"/>
                <w:kern w:val="0"/>
              </w:rPr>
            </w:pPr>
            <w:r>
              <w:rPr>
                <w:rFonts w:hint="eastAsia" w:ascii="仿宋_GB2312" w:eastAsia="仿宋_GB2312"/>
                <w:kern w:val="0"/>
              </w:rPr>
              <w:t>≥1次</w:t>
            </w:r>
          </w:p>
        </w:tc>
        <w:tc>
          <w:tcPr>
            <w:tcW w:w="126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印发典型案件通报、制作播放警示教育片、召开警示教育大会、组织党员干部现场旁听庭审等多种方式</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tcBorders>
              <w:top w:val="single" w:color="000000" w:sz="4" w:space="0"/>
              <w:bottom w:val="single" w:color="000000" w:sz="4" w:space="0"/>
            </w:tcBorders>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加大农村信访督办力度，提高“处置率”，化解基层矛盾</w:t>
            </w:r>
          </w:p>
        </w:tc>
        <w:tc>
          <w:tcPr>
            <w:tcW w:w="1298"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≥95%，全年共受理信访举报151件，其中检举控告类137件。</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tcBorders>
              <w:top w:val="single" w:color="000000" w:sz="4" w:space="0"/>
              <w:bottom w:val="single" w:color="000000" w:sz="4" w:space="0"/>
            </w:tcBorders>
            <w:vAlign w:val="center"/>
          </w:tcPr>
          <w:p>
            <w:pPr>
              <w:spacing w:line="240" w:lineRule="auto"/>
              <w:jc w:val="both"/>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vMerge w:val="restart"/>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以加强政治建设为统领，不断增强践行“两个维护”的自觉性</w:t>
            </w:r>
          </w:p>
        </w:tc>
        <w:tc>
          <w:tcPr>
            <w:tcW w:w="1298"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tcBorders>
              <w:top w:val="single" w:color="000000" w:sz="4" w:space="0"/>
              <w:bottom w:val="single" w:color="000000" w:sz="4" w:space="0"/>
            </w:tcBorders>
            <w:vAlign w:val="center"/>
          </w:tcPr>
          <w:p>
            <w:pPr>
              <w:spacing w:line="240" w:lineRule="auto"/>
              <w:jc w:val="both"/>
              <w:rPr>
                <w:rFonts w:hint="eastAsia"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6</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6</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以整治形式主义、官僚主义为重点，持之以恒加强作风建设</w:t>
            </w:r>
          </w:p>
        </w:tc>
        <w:tc>
          <w:tcPr>
            <w:tcW w:w="1298"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tcBorders>
              <w:top w:val="single" w:color="000000" w:sz="4" w:space="0"/>
              <w:bottom w:val="single" w:color="000000" w:sz="4" w:space="0"/>
            </w:tcBorders>
            <w:vAlign w:val="center"/>
          </w:tcPr>
          <w:p>
            <w:pPr>
              <w:spacing w:line="240" w:lineRule="auto"/>
              <w:jc w:val="both"/>
              <w:rPr>
                <w:rFonts w:hint="eastAsia"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凝聚监督合力，不断把制度优势转化为治理效能</w:t>
            </w:r>
          </w:p>
        </w:tc>
        <w:tc>
          <w:tcPr>
            <w:tcW w:w="1298"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tcBorders>
              <w:top w:val="single" w:color="000000" w:sz="4" w:space="0"/>
              <w:bottom w:val="single" w:color="000000" w:sz="4" w:space="0"/>
            </w:tcBorders>
            <w:vAlign w:val="center"/>
          </w:tcPr>
          <w:p>
            <w:pPr>
              <w:spacing w:line="240" w:lineRule="auto"/>
              <w:jc w:val="both"/>
              <w:rPr>
                <w:rFonts w:hint="eastAsia"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规范、精准开展审查调查，巩固反腐败压倒性态势</w:t>
            </w:r>
          </w:p>
        </w:tc>
        <w:tc>
          <w:tcPr>
            <w:tcW w:w="1298"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tcBorders>
              <w:top w:val="single" w:color="000000" w:sz="4" w:space="0"/>
              <w:bottom w:val="single" w:color="000000" w:sz="4" w:space="0"/>
            </w:tcBorders>
            <w:vAlign w:val="center"/>
          </w:tcPr>
          <w:p>
            <w:pPr>
              <w:spacing w:line="240" w:lineRule="auto"/>
              <w:jc w:val="both"/>
              <w:rPr>
                <w:rFonts w:hint="eastAsia"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249" w:type="dxa"/>
            <w:tcBorders>
              <w:top w:val="single" w:color="000000" w:sz="4" w:space="0"/>
              <w:bottom w:val="single" w:color="000000" w:sz="4" w:space="0"/>
            </w:tcBorders>
            <w:vAlign w:val="center"/>
          </w:tcPr>
          <w:p>
            <w:pPr>
              <w:tabs>
                <w:tab w:val="left" w:pos="273"/>
              </w:tabs>
              <w:spacing w:line="240" w:lineRule="auto"/>
              <w:jc w:val="left"/>
              <w:rPr>
                <w:rFonts w:hint="eastAsia" w:ascii="仿宋_GB2312" w:eastAsia="仿宋_GB2312"/>
                <w:kern w:val="0"/>
                <w:lang w:eastAsia="zh-CN"/>
              </w:rPr>
            </w:pPr>
            <w:r>
              <w:rPr>
                <w:rFonts w:hint="eastAsia" w:ascii="仿宋_GB2312" w:eastAsia="仿宋_GB2312"/>
                <w:kern w:val="0"/>
                <w:lang w:eastAsia="zh-CN"/>
              </w:rPr>
              <w:t>继续推进重点领域治理，提升人民群众幸福感、获得感</w:t>
            </w:r>
          </w:p>
        </w:tc>
        <w:tc>
          <w:tcPr>
            <w:tcW w:w="1298"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tcBorders>
              <w:top w:val="single" w:color="000000" w:sz="4" w:space="0"/>
              <w:bottom w:val="single" w:color="000000" w:sz="4" w:space="0"/>
            </w:tcBorders>
            <w:vAlign w:val="center"/>
          </w:tcPr>
          <w:p>
            <w:pPr>
              <w:spacing w:line="240" w:lineRule="auto"/>
              <w:jc w:val="both"/>
              <w:rPr>
                <w:rFonts w:hint="eastAsia"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强化队伍和组织建设，不断提升纪检监察工作高质量发展的能力和水平</w:t>
            </w:r>
          </w:p>
        </w:tc>
        <w:tc>
          <w:tcPr>
            <w:tcW w:w="1298"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r>
              <w:rPr>
                <w:rFonts w:hint="eastAsia" w:ascii="仿宋_GB2312" w:eastAsia="仿宋_GB2312"/>
                <w:kern w:val="0"/>
                <w:lang w:val="en-US" w:eastAsia="zh-CN"/>
              </w:rPr>
              <w:t>100%</w:t>
            </w:r>
          </w:p>
        </w:tc>
        <w:tc>
          <w:tcPr>
            <w:tcW w:w="1269" w:type="dxa"/>
            <w:tcBorders>
              <w:top w:val="single" w:color="000000" w:sz="4" w:space="0"/>
              <w:bottom w:val="single" w:color="000000" w:sz="4" w:space="0"/>
            </w:tcBorders>
            <w:vAlign w:val="center"/>
          </w:tcPr>
          <w:p>
            <w:pPr>
              <w:spacing w:line="240" w:lineRule="auto"/>
              <w:jc w:val="both"/>
              <w:rPr>
                <w:rFonts w:hint="eastAsia"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按时完成绩效目标任务</w:t>
            </w:r>
          </w:p>
        </w:tc>
        <w:tc>
          <w:tcPr>
            <w:tcW w:w="1298"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eastAsia="仿宋_GB2312"/>
                <w:kern w:val="0"/>
              </w:rPr>
              <w:t>1年</w:t>
            </w:r>
          </w:p>
        </w:tc>
        <w:tc>
          <w:tcPr>
            <w:tcW w:w="1269" w:type="dxa"/>
            <w:tcBorders>
              <w:top w:val="single" w:color="000000" w:sz="4" w:space="0"/>
              <w:bottom w:val="single" w:color="000000" w:sz="4" w:space="0"/>
            </w:tcBorders>
            <w:vAlign w:val="center"/>
          </w:tcPr>
          <w:p>
            <w:pPr>
              <w:spacing w:line="240" w:lineRule="auto"/>
              <w:jc w:val="both"/>
              <w:rPr>
                <w:rFonts w:hint="eastAsia"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优化资源配置，提高财政资金使用效益</w:t>
            </w:r>
          </w:p>
        </w:tc>
        <w:tc>
          <w:tcPr>
            <w:tcW w:w="1298"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 xml:space="preserve"> 提升党政机关执行力和公信力，推动从严治党向纵深发展</w:t>
            </w:r>
          </w:p>
        </w:tc>
        <w:tc>
          <w:tcPr>
            <w:tcW w:w="1298"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形成风清气正的良好政治环境</w:t>
            </w:r>
          </w:p>
        </w:tc>
        <w:tc>
          <w:tcPr>
            <w:tcW w:w="1298"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加强全面从严治党，提升执政党形象。</w:t>
            </w:r>
          </w:p>
        </w:tc>
        <w:tc>
          <w:tcPr>
            <w:tcW w:w="1298"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群众对党政机关执行力及服务更加满意</w:t>
            </w:r>
          </w:p>
        </w:tc>
        <w:tc>
          <w:tcPr>
            <w:tcW w:w="1298"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single" w:color="000000" w:sz="4" w:space="0"/>
              <w:bottom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single" w:color="000000" w:sz="4" w:space="0"/>
              <w:bottom w:val="single" w:color="000000"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控制在年度预算资金范围内</w:t>
            </w:r>
          </w:p>
        </w:tc>
        <w:tc>
          <w:tcPr>
            <w:tcW w:w="1298"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1269" w:type="dxa"/>
            <w:tcBorders>
              <w:top w:val="single" w:color="000000" w:sz="4" w:space="0"/>
              <w:bottom w:val="single" w:color="000000" w:sz="4" w:space="0"/>
            </w:tcBorders>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90%</w:t>
            </w:r>
          </w:p>
        </w:tc>
        <w:tc>
          <w:tcPr>
            <w:tcW w:w="699" w:type="dxa"/>
            <w:tcBorders>
              <w:top w:val="single" w:color="000000" w:sz="4" w:space="0"/>
              <w:bottom w:val="single" w:color="000000" w:sz="4" w:space="0"/>
            </w:tcBorders>
            <w:vAlign w:val="center"/>
          </w:tcPr>
          <w:p>
            <w:pPr>
              <w:spacing w:line="240" w:lineRule="auto"/>
              <w:ind w:firstLine="420"/>
              <w:jc w:val="both"/>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tcBorders>
              <w:top w:val="single" w:color="000000" w:sz="4" w:space="0"/>
              <w:bottom w:val="single" w:color="000000" w:sz="4" w:space="0"/>
            </w:tcBorders>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0</w:t>
            </w:r>
          </w:p>
        </w:tc>
        <w:tc>
          <w:tcPr>
            <w:tcW w:w="1423" w:type="dxa"/>
            <w:tcBorders>
              <w:top w:val="single" w:color="000000" w:sz="4" w:space="0"/>
              <w:bottom w:val="single" w:color="000000" w:sz="4" w:space="0"/>
            </w:tcBorders>
            <w:vAlign w:val="center"/>
          </w:tcPr>
          <w:p>
            <w:pPr>
              <w:spacing w:line="240" w:lineRule="auto"/>
              <w:ind w:firstLine="420"/>
              <w:jc w:val="both"/>
              <w:rPr>
                <w:rFonts w:ascii="仿宋_GB2312" w:eastAsia="仿宋_GB2312"/>
                <w:kern w:val="0"/>
              </w:rPr>
            </w:pPr>
            <w:r>
              <w:rPr>
                <w:rFonts w:hint="eastAsia" w:ascii="仿宋_GB2312" w:eastAsia="仿宋_GB2312"/>
                <w:kern w:val="0"/>
              </w:rPr>
              <w:t>年初预算不足，追加经费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c>
          <w:tcPr>
            <w:tcW w:w="1029" w:type="dxa"/>
            <w:tcBorders>
              <w:top w:val="single" w:color="000000" w:sz="4" w:space="0"/>
              <w:bottom w:val="single" w:color="000000"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收缴违规资金，有效利用资源</w:t>
            </w:r>
          </w:p>
        </w:tc>
        <w:tc>
          <w:tcPr>
            <w:tcW w:w="1298" w:type="dxa"/>
            <w:tcBorders>
              <w:top w:val="single" w:color="000000" w:sz="4" w:space="0"/>
              <w:bottom w:val="single" w:color="000000" w:sz="4" w:space="0"/>
            </w:tcBorders>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tcBorders>
              <w:top w:val="single" w:color="000000" w:sz="4" w:space="0"/>
              <w:bottom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达到预期目标</w:t>
            </w:r>
          </w:p>
        </w:tc>
        <w:tc>
          <w:tcPr>
            <w:tcW w:w="699" w:type="dxa"/>
            <w:tcBorders>
              <w:top w:val="single" w:color="000000" w:sz="4" w:space="0"/>
              <w:bottom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tcBorders>
              <w:top w:val="single" w:color="000000" w:sz="4" w:space="0"/>
              <w:bottom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tcBorders>
              <w:top w:val="single" w:color="000000" w:sz="4" w:space="0"/>
              <w:bottom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single" w:color="000000" w:sz="4" w:space="0"/>
            </w:tcBorders>
            <w:vAlign w:val="center"/>
          </w:tcPr>
          <w:p>
            <w:pPr>
              <w:spacing w:line="240" w:lineRule="auto"/>
              <w:ind w:firstLine="420"/>
              <w:jc w:val="center"/>
              <w:rPr>
                <w:rFonts w:ascii="仿宋_GB2312" w:eastAsia="仿宋_GB2312"/>
                <w:kern w:val="0"/>
              </w:rPr>
            </w:pPr>
          </w:p>
        </w:tc>
        <w:tc>
          <w:tcPr>
            <w:tcW w:w="1029" w:type="dxa"/>
            <w:tcBorders>
              <w:top w:val="single" w:color="000000" w:sz="4" w:space="0"/>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tcBorders>
              <w:top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构筑良好的政治生态，无负面影响</w:t>
            </w:r>
          </w:p>
        </w:tc>
        <w:tc>
          <w:tcPr>
            <w:tcW w:w="1298" w:type="dxa"/>
            <w:tcBorders>
              <w:top w:val="single" w:color="000000" w:sz="4" w:space="0"/>
            </w:tcBorders>
            <w:vAlign w:val="center"/>
          </w:tcPr>
          <w:p>
            <w:pPr>
              <w:spacing w:line="240" w:lineRule="auto"/>
              <w:jc w:val="center"/>
              <w:rPr>
                <w:rFonts w:ascii="仿宋_GB2312" w:eastAsia="仿宋_GB2312"/>
                <w:kern w:val="0"/>
              </w:rPr>
            </w:pPr>
            <w:r>
              <w:rPr>
                <w:rFonts w:hint="eastAsia" w:ascii="仿宋_GB2312" w:eastAsia="仿宋_GB2312"/>
                <w:kern w:val="0"/>
              </w:rPr>
              <w:t>≥90%</w:t>
            </w:r>
          </w:p>
        </w:tc>
        <w:tc>
          <w:tcPr>
            <w:tcW w:w="1269" w:type="dxa"/>
            <w:tcBorders>
              <w:top w:val="single" w:color="000000" w:sz="4" w:space="0"/>
            </w:tcBorders>
            <w:vAlign w:val="center"/>
          </w:tcPr>
          <w:p>
            <w:pPr>
              <w:spacing w:line="240" w:lineRule="auto"/>
              <w:jc w:val="both"/>
              <w:rPr>
                <w:rFonts w:ascii="仿宋_GB2312" w:eastAsia="仿宋_GB2312"/>
                <w:kern w:val="0"/>
              </w:rPr>
            </w:pPr>
            <w:r>
              <w:rPr>
                <w:rFonts w:hint="eastAsia" w:ascii="仿宋_GB2312" w:eastAsia="仿宋_GB2312"/>
                <w:kern w:val="0"/>
              </w:rPr>
              <w:t>达到预期目标</w:t>
            </w:r>
          </w:p>
        </w:tc>
        <w:tc>
          <w:tcPr>
            <w:tcW w:w="699" w:type="dxa"/>
            <w:tcBorders>
              <w:top w:val="single" w:color="000000" w:sz="4" w:space="0"/>
            </w:tcBorders>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3</w:t>
            </w:r>
          </w:p>
        </w:tc>
        <w:tc>
          <w:tcPr>
            <w:tcW w:w="869" w:type="dxa"/>
            <w:tcBorders>
              <w:top w:val="single" w:color="000000" w:sz="4" w:space="0"/>
            </w:tcBorders>
            <w:vAlign w:val="center"/>
          </w:tcPr>
          <w:p>
            <w:pPr>
              <w:spacing w:line="240" w:lineRule="auto"/>
              <w:ind w:firstLine="420" w:firstLineChars="0"/>
              <w:jc w:val="center"/>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3</w:t>
            </w:r>
          </w:p>
        </w:tc>
        <w:tc>
          <w:tcPr>
            <w:tcW w:w="1423" w:type="dxa"/>
            <w:tcBorders>
              <w:top w:val="single" w:color="000000" w:sz="4" w:space="0"/>
            </w:tcBorders>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97</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line="240" w:lineRule="auto"/>
        <w:jc w:val="left"/>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狄长霞</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2023年1月4日</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07305222782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吴朝霞</w:t>
      </w:r>
    </w:p>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35"/>
          <w:szCs w:val="35"/>
          <w:lang w:val="en-US" w:eastAsia="zh-CN" w:bidi="ar-SA"/>
        </w:rPr>
        <w:t xml:space="preserve"> </w:t>
      </w:r>
    </w:p>
    <w:p>
      <w:pPr>
        <w:rPr>
          <w:rFonts w:hint="eastAsia" w:ascii="宋体" w:hAnsi="宋体" w:eastAsia="宋体" w:cs="宋体"/>
          <w:bCs/>
          <w:snapToGrid w:val="0"/>
          <w:color w:val="000000"/>
          <w:spacing w:val="-4"/>
          <w:sz w:val="28"/>
          <w:szCs w:val="28"/>
          <w:lang w:val="en-US" w:eastAsia="zh-CN" w:bidi="ar-SA"/>
        </w:rPr>
      </w:pPr>
      <w:r>
        <w:rPr>
          <w:rFonts w:hint="eastAsia" w:ascii="宋体" w:hAnsi="宋体" w:eastAsia="宋体" w:cs="宋体"/>
          <w:bCs/>
          <w:snapToGrid w:val="0"/>
          <w:color w:val="000000"/>
          <w:spacing w:val="-4"/>
          <w:sz w:val="28"/>
          <w:szCs w:val="28"/>
          <w:lang w:val="en-US" w:eastAsia="zh-CN" w:bidi="ar-SA"/>
        </w:rPr>
        <w:br w:type="page"/>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附件3-1</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大要案专项业务费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中国共产党汨罗市纪律检查委员会</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中国共产党汨罗市纪律检查委员会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21</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186.22</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186.22</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21</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186.22</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186.22</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运用四种形态，净化政治生态，让党内关系正常化。突出主业、主责，加大纪律审查力度，坚持有案必查、有腐必惩、一查到底，突出办案重点，采取必要的“两规”、“两指”手段，确保办案安全。</w:t>
            </w:r>
          </w:p>
        </w:tc>
        <w:tc>
          <w:tcPr>
            <w:tcW w:w="4140"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全市违纪案中立案数在上年基础上略有增加;大要案数量不低于岳阳市平均水平</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共立案209件，给予党纪政务处分195人；运用监督执纪“四种形态”批评教育帮助和处理549人次。</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确保案件办理、审理质量。做到事实清楚、证据确凿、定性准确、处理恰当、手续完备、程序合规</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达到预期目标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确保办案安全</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零事故</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零事故</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按时完成绩效目标任务</w:t>
            </w:r>
          </w:p>
        </w:tc>
        <w:tc>
          <w:tcPr>
            <w:tcW w:w="109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达到预期目标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优化资源配置，提高财政资金使用效益</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 xml:space="preserve"> 提升党政机关执行力和公信力，推动从严治党向纵深发展</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形成风清气正的良好政治环境</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加强全面从严治党，提升执政党形象。</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群众对党政机关执行力及服务更加满意</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bottom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控制在年度预算资金范围内</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90%</w:t>
            </w:r>
          </w:p>
        </w:tc>
        <w:tc>
          <w:tcPr>
            <w:tcW w:w="809" w:type="dxa"/>
            <w:vAlign w:val="center"/>
          </w:tcPr>
          <w:p>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0</w:t>
            </w:r>
          </w:p>
        </w:tc>
        <w:tc>
          <w:tcPr>
            <w:tcW w:w="1383" w:type="dxa"/>
            <w:vAlign w:val="center"/>
          </w:tcPr>
          <w:p>
            <w:pPr>
              <w:spacing w:line="240" w:lineRule="auto"/>
              <w:ind w:firstLine="420" w:firstLineChars="0"/>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年初预算不足，追加经费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收缴违规资金，有效利用资源</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构筑良好的政治生态，无负面影响</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before="52" w:line="219" w:lineRule="auto"/>
        <w:jc w:val="left"/>
        <w:rPr>
          <w:rFonts w:ascii="仿宋_GB2312" w:hAnsi="宋体" w:eastAsia="仿宋_GB2312" w:cs="宋体"/>
          <w:kern w:val="0"/>
          <w:lang w:eastAsia="zh-CN"/>
        </w:rPr>
      </w:pPr>
    </w:p>
    <w:p>
      <w:pPr>
        <w:kinsoku w:val="0"/>
        <w:autoSpaceDE w:val="0"/>
        <w:autoSpaceDN w:val="0"/>
        <w:adjustRightInd w:val="0"/>
        <w:snapToGrid w:val="0"/>
        <w:spacing w:line="240" w:lineRule="auto"/>
        <w:jc w:val="left"/>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狄长霞</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2023年1月4日</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07305222782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吴朝霞</w:t>
      </w:r>
    </w:p>
    <w:p>
      <w:pPr>
        <w:rPr>
          <w:rFonts w:ascii="仿宋_GB2312" w:hAnsi="宋体" w:eastAsia="仿宋_GB2312" w:cs="宋体"/>
          <w:lang w:eastAsia="zh-CN"/>
        </w:rPr>
      </w:pPr>
      <w:r>
        <w:rPr>
          <w:rFonts w:ascii="仿宋_GB2312" w:hAnsi="宋体" w:eastAsia="仿宋_GB2312" w:cs="宋体"/>
          <w:lang w:eastAsia="zh-CN"/>
        </w:rPr>
        <w:br w:type="page"/>
      </w:r>
    </w:p>
    <w:p>
      <w:pPr>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附件3-2</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val="en-US" w:eastAsia="zh-CN"/>
              </w:rPr>
              <w:t>巡察办经费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中国共产党汨罗市纪律检查委员会</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汨罗市委巡察办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38</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69.46</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default" w:ascii="仿宋_GB2312" w:hAnsi="宋体" w:eastAsia="仿宋_GB2312" w:cs="宋体"/>
                <w:kern w:val="0"/>
                <w:lang w:val="en-US" w:eastAsia="zh-CN"/>
              </w:rPr>
              <w:t>69.46</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snapToGrid w:val="0"/>
                <w:color w:val="000000"/>
                <w:kern w:val="0"/>
                <w:sz w:val="21"/>
                <w:szCs w:val="21"/>
                <w:lang w:val="en-US" w:eastAsia="zh-CN" w:bidi="ar-SA"/>
              </w:rPr>
              <w:t>38</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default" w:ascii="仿宋_GB2312" w:hAnsi="宋体" w:eastAsia="仿宋_GB2312" w:cs="宋体"/>
                <w:snapToGrid w:val="0"/>
                <w:color w:val="000000"/>
                <w:kern w:val="0"/>
                <w:sz w:val="21"/>
                <w:szCs w:val="21"/>
                <w:lang w:val="en-US" w:eastAsia="zh-CN" w:bidi="ar-SA"/>
              </w:rPr>
              <w:t>69.46</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default" w:ascii="仿宋_GB2312" w:hAnsi="宋体" w:eastAsia="仿宋_GB2312" w:cs="宋体"/>
                <w:snapToGrid w:val="0"/>
                <w:color w:val="000000"/>
                <w:kern w:val="0"/>
                <w:sz w:val="21"/>
                <w:szCs w:val="21"/>
                <w:lang w:val="en-US" w:eastAsia="zh-CN" w:bidi="ar-SA"/>
              </w:rPr>
              <w:t>69.46</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计划年内自行组织对14个单位（含50个村）开展常规巡察；对3个领域开展专项巡察；下半年配合岳阳市委对6个单位开展一轮异地交叉巡察。</w:t>
            </w:r>
          </w:p>
        </w:tc>
        <w:tc>
          <w:tcPr>
            <w:tcW w:w="4140"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开展异地交叉巡察批次</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lang w:val="en-US" w:eastAsia="zh-CN"/>
              </w:rPr>
              <w:t>1次</w:t>
            </w:r>
          </w:p>
        </w:tc>
        <w:tc>
          <w:tcPr>
            <w:tcW w:w="1099" w:type="dxa"/>
            <w:vAlign w:val="center"/>
          </w:tcPr>
          <w:p>
            <w:pPr>
              <w:spacing w:line="240" w:lineRule="auto"/>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1次</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84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开展常规巡察单位</w:t>
            </w:r>
          </w:p>
        </w:tc>
        <w:tc>
          <w:tcPr>
            <w:tcW w:w="109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5个</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开展了十一届市委第一至第三轮常规巡察，推动立行立改问题25个，移交问题线索30件，已处理处分7人。</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84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bottom w:val="single" w:color="000000" w:sz="4" w:space="0"/>
            </w:tcBorders>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开展专项巡察批次</w:t>
            </w:r>
          </w:p>
        </w:tc>
        <w:tc>
          <w:tcPr>
            <w:tcW w:w="109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1次</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完成全市违规举债虚假化债和优化营商环境共2轮专项巡察，发现问题35个，移交问题线索5件。</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849" w:type="dxa"/>
            <w:vAlign w:val="center"/>
          </w:tcPr>
          <w:p>
            <w:pPr>
              <w:spacing w:line="240" w:lineRule="auto"/>
              <w:ind w:firstLine="420" w:firstLineChars="0"/>
              <w:jc w:val="center"/>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确保上下联动，推动全市党的先进性和纯洁性建设认真履职，加强内部管理，着力发现问题，巡察工作取得实效</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95%</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达到预期目标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84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按时完成绩效目标任务</w:t>
            </w:r>
          </w:p>
        </w:tc>
        <w:tc>
          <w:tcPr>
            <w:tcW w:w="109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达到预期目标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优化资源配置，提高财政资金使用效益</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 xml:space="preserve"> 提升党政机关执行力和公信力，推动从严治党向纵深发展</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形成风清气正的良好政治环境</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加强全面从严治党，提升执政党形象。</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群众对党政机关执行力及服务更加满意</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bottom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控制在年度预算资金范围内</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90%</w:t>
            </w:r>
          </w:p>
        </w:tc>
        <w:tc>
          <w:tcPr>
            <w:tcW w:w="809" w:type="dxa"/>
            <w:vAlign w:val="center"/>
          </w:tcPr>
          <w:p>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0</w:t>
            </w:r>
          </w:p>
        </w:tc>
        <w:tc>
          <w:tcPr>
            <w:tcW w:w="1383"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工作任务重，经费超支部分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收缴违规资金，有效利用资源</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构筑良好的政治生态，无负面影响</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before="52" w:line="219" w:lineRule="auto"/>
        <w:jc w:val="left"/>
        <w:rPr>
          <w:rFonts w:ascii="仿宋_GB2312" w:hAnsi="宋体" w:eastAsia="仿宋_GB2312" w:cs="宋体"/>
          <w:kern w:val="0"/>
          <w:lang w:eastAsia="zh-CN"/>
        </w:rPr>
      </w:pPr>
    </w:p>
    <w:p>
      <w:pPr>
        <w:rPr>
          <w:rFonts w:hint="eastAsia"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狄长霞</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2023年1月4日</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07305222782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吴朝霞</w:t>
      </w:r>
    </w:p>
    <w:p>
      <w:pPr>
        <w:rPr>
          <w:rFonts w:hint="eastAsia" w:ascii="仿宋_GB2312" w:hAnsi="宋体" w:eastAsia="仿宋_GB2312" w:cs="宋体"/>
          <w:snapToGrid w:val="0"/>
          <w:color w:val="000000"/>
          <w:sz w:val="21"/>
          <w:szCs w:val="21"/>
          <w:lang w:val="en-US" w:eastAsia="zh-CN" w:bidi="ar-SA"/>
        </w:rPr>
      </w:pPr>
      <w:r>
        <w:rPr>
          <w:rFonts w:hint="eastAsia" w:ascii="仿宋_GB2312" w:hAnsi="宋体" w:eastAsia="仿宋_GB2312" w:cs="宋体"/>
          <w:snapToGrid w:val="0"/>
          <w:color w:val="000000"/>
          <w:sz w:val="21"/>
          <w:szCs w:val="21"/>
          <w:lang w:val="en-US" w:eastAsia="zh-CN" w:bidi="ar-SA"/>
        </w:rPr>
        <w:br w:type="page"/>
      </w:r>
    </w:p>
    <w:p>
      <w:pPr>
        <w:kinsoku w:val="0"/>
        <w:autoSpaceDE w:val="0"/>
        <w:autoSpaceDN w:val="0"/>
        <w:adjustRightInd w:val="0"/>
        <w:snapToGrid w:val="0"/>
        <w:spacing w:before="293" w:line="236" w:lineRule="auto"/>
        <w:ind w:firstLine="552"/>
        <w:textAlignment w:val="baseline"/>
        <w:rPr>
          <w:rFonts w:hint="default"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纪委专项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中国共产党汨罗市纪律检查委员会</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中国共产党汨罗市纪律检查委员会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27</w:t>
            </w:r>
          </w:p>
        </w:tc>
        <w:tc>
          <w:tcPr>
            <w:tcW w:w="109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142.56</w:t>
            </w:r>
          </w:p>
        </w:tc>
        <w:tc>
          <w:tcPr>
            <w:tcW w:w="1099" w:type="dxa"/>
            <w:vAlign w:val="center"/>
          </w:tcPr>
          <w:p>
            <w:pPr>
              <w:spacing w:line="240" w:lineRule="auto"/>
              <w:ind w:firstLine="420" w:firstLineChars="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142.56</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27</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142.56</w:t>
            </w:r>
          </w:p>
        </w:tc>
        <w:tc>
          <w:tcPr>
            <w:tcW w:w="109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142.56</w:t>
            </w: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1.保障乡镇纪检监察干部工作经费。</w:t>
            </w:r>
          </w:p>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2.进一步完善“互联网+监督”平台建设、维护纪检信息网络正常运行。</w:t>
            </w:r>
          </w:p>
          <w:p>
            <w:pPr>
              <w:spacing w:line="240" w:lineRule="auto"/>
              <w:jc w:val="both"/>
              <w:rPr>
                <w:rFonts w:ascii="仿宋_GB2312" w:hAnsi="宋体" w:eastAsia="仿宋_GB2312" w:cs="宋体"/>
                <w:kern w:val="0"/>
              </w:rPr>
            </w:pPr>
            <w:r>
              <w:rPr>
                <w:rFonts w:hint="eastAsia" w:ascii="仿宋_GB2312" w:hAnsi="宋体" w:eastAsia="仿宋_GB2312" w:cs="宋体"/>
                <w:kern w:val="0"/>
              </w:rPr>
              <w:t>3.开展廉政警示教育，确保作风过硬；做好后勤保障、办案服务等其他日常服务工作。</w:t>
            </w:r>
          </w:p>
        </w:tc>
        <w:tc>
          <w:tcPr>
            <w:tcW w:w="4140" w:type="dxa"/>
            <w:gridSpan w:val="4"/>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保障乡镇纪检监察干部纪检工作特岗津贴的发放</w:t>
            </w:r>
          </w:p>
        </w:tc>
        <w:tc>
          <w:tcPr>
            <w:tcW w:w="1099" w:type="dxa"/>
            <w:vAlign w:val="center"/>
          </w:tcPr>
          <w:p>
            <w:pPr>
              <w:spacing w:line="240" w:lineRule="auto"/>
              <w:ind w:firstLine="420"/>
              <w:jc w:val="both"/>
              <w:rPr>
                <w:rFonts w:ascii="仿宋_GB2312" w:hAnsi="宋体" w:eastAsia="仿宋_GB2312" w:cs="宋体"/>
                <w:kern w:val="0"/>
              </w:rPr>
            </w:pPr>
            <w:r>
              <w:rPr>
                <w:rFonts w:hint="eastAsia" w:ascii="仿宋_GB2312" w:hAnsi="宋体" w:eastAsia="仿宋_GB2312" w:cs="宋体"/>
                <w:kern w:val="0"/>
                <w:lang w:val="en-US" w:eastAsia="zh-CN"/>
              </w:rPr>
              <w:t>100%</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达到预期目标，强化了市纪委对乡镇纪检监察工作力量的统一调度和使用。</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bottom w:val="single" w:color="000000" w:sz="4" w:space="0"/>
            </w:tcBorders>
            <w:vAlign w:val="center"/>
          </w:tcPr>
          <w:p>
            <w:pPr>
              <w:spacing w:line="240" w:lineRule="auto"/>
              <w:jc w:val="center"/>
              <w:rPr>
                <w:rFonts w:hint="eastAsia"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开展纪检监察干部廉政警示教育活动，确保干部作风过硬</w:t>
            </w:r>
          </w:p>
        </w:tc>
        <w:tc>
          <w:tcPr>
            <w:tcW w:w="109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≥1次，形式多样</w:t>
            </w:r>
          </w:p>
        </w:tc>
        <w:tc>
          <w:tcPr>
            <w:tcW w:w="1099"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依托屈子文化园，高标准打造屈原廉洁文化教育基地，已接待单位56批次；组织开展“汨罗市纪检监察干部大课堂”10期，参学人员2200余人次。</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vMerge w:val="restart"/>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开展廉洁文化“十进”活动，全面推进清廉汨罗建设</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开展“清廉汨罗”知识竞赛、清廉作品征集、微廉课征集等活动，清廉汨罗建设系列报道；开展清廉汨罗建设系列报道；拍摄短视频《违规吃喝，这可不行》、警示教育片《警钟长鸣》。</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hint="eastAsia" w:ascii="仿宋_GB2312" w:hAnsi="宋体" w:eastAsia="仿宋_GB2312" w:cs="宋体"/>
                <w:kern w:val="0"/>
              </w:rPr>
            </w:pPr>
            <w:r>
              <w:rPr>
                <w:rFonts w:hint="eastAsia" w:ascii="仿宋_GB2312" w:hAnsi="宋体" w:eastAsia="仿宋_GB2312" w:cs="宋体"/>
                <w:kern w:val="0"/>
              </w:rPr>
              <w:t>推动“互联网+监督”平台规范化建设，加强平台网络信息的推广推送</w:t>
            </w:r>
          </w:p>
        </w:tc>
        <w:tc>
          <w:tcPr>
            <w:tcW w:w="109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09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达到预期目标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849" w:type="dxa"/>
            <w:vAlign w:val="center"/>
          </w:tcPr>
          <w:p>
            <w:pPr>
              <w:spacing w:line="240" w:lineRule="auto"/>
              <w:ind w:firstLine="420" w:firstLineChars="0"/>
              <w:jc w:val="center"/>
              <w:rPr>
                <w:rFonts w:hint="eastAsia"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确保办案安全</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零事故</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零事故</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12</w:t>
            </w:r>
          </w:p>
        </w:tc>
        <w:tc>
          <w:tcPr>
            <w:tcW w:w="849" w:type="dxa"/>
            <w:vAlign w:val="center"/>
          </w:tcPr>
          <w:p>
            <w:pPr>
              <w:spacing w:line="240" w:lineRule="auto"/>
              <w:ind w:firstLine="420" w:firstLineChars="0"/>
              <w:jc w:val="center"/>
              <w:rPr>
                <w:rFonts w:hint="default" w:ascii="仿宋_GB2312" w:hAnsi="宋体" w:eastAsia="仿宋_GB2312" w:cs="宋体"/>
                <w:snapToGrid w:val="0"/>
                <w:color w:val="000000"/>
                <w:kern w:val="0"/>
                <w:sz w:val="21"/>
                <w:szCs w:val="21"/>
                <w:lang w:val="en-US" w:eastAsia="zh-CN" w:bidi="ar-SA"/>
              </w:rPr>
            </w:pPr>
            <w:r>
              <w:rPr>
                <w:rFonts w:hint="eastAsia" w:ascii="仿宋_GB2312" w:hAnsi="宋体" w:eastAsia="仿宋_GB2312" w:cs="宋体"/>
                <w:kern w:val="0"/>
                <w:lang w:val="en-US" w:eastAsia="zh-CN"/>
              </w:rPr>
              <w:t>12</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按时完成绩效目标任务</w:t>
            </w:r>
          </w:p>
        </w:tc>
        <w:tc>
          <w:tcPr>
            <w:tcW w:w="109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1年</w:t>
            </w:r>
          </w:p>
        </w:tc>
        <w:tc>
          <w:tcPr>
            <w:tcW w:w="1099" w:type="dxa"/>
            <w:vAlign w:val="center"/>
          </w:tcPr>
          <w:p>
            <w:pPr>
              <w:spacing w:line="240" w:lineRule="auto"/>
              <w:jc w:val="both"/>
              <w:rPr>
                <w:rFonts w:ascii="仿宋_GB2312" w:hAnsi="宋体" w:eastAsia="仿宋_GB2312" w:cs="宋体"/>
                <w:kern w:val="0"/>
              </w:rPr>
            </w:pPr>
            <w:r>
              <w:rPr>
                <w:rFonts w:hint="eastAsia" w:ascii="仿宋_GB2312" w:hAnsi="宋体" w:eastAsia="仿宋_GB2312" w:cs="宋体"/>
                <w:kern w:val="0"/>
              </w:rPr>
              <w:t>达到预期目标</w:t>
            </w:r>
          </w:p>
        </w:tc>
        <w:tc>
          <w:tcPr>
            <w:tcW w:w="80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优化资源配置，提高财政资金使用效益</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 xml:space="preserve"> 提升党政机关执行力和公信力，推动从严治党向纵深发展</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形成风清气正的良好政治环境</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single" w:color="000000" w:sz="4" w:space="0"/>
            </w:tcBorders>
            <w:vAlign w:val="center"/>
          </w:tcPr>
          <w:p>
            <w:pPr>
              <w:spacing w:line="240" w:lineRule="auto"/>
              <w:ind w:firstLine="420"/>
              <w:jc w:val="center"/>
              <w:rPr>
                <w:rFonts w:ascii="仿宋_GB2312" w:hAnsi="宋体" w:eastAsia="仿宋_GB2312" w:cs="宋体"/>
                <w:kern w:val="0"/>
              </w:rPr>
            </w:pPr>
          </w:p>
        </w:tc>
        <w:tc>
          <w:tcPr>
            <w:tcW w:w="1218" w:type="dxa"/>
            <w:tcBorders>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加强全面从严治党，提升执政党形象。</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群众对党政机关执行力及服务更加满意</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single" w:color="000000" w:sz="4" w:space="0"/>
              <w:bottom w:val="single" w:color="000000" w:sz="4" w:space="0"/>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single" w:color="000000" w:sz="4" w:space="0"/>
              <w:bottom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控制在年度预算资金范围内</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100%</w:t>
            </w:r>
          </w:p>
        </w:tc>
        <w:tc>
          <w:tcPr>
            <w:tcW w:w="1099" w:type="dxa"/>
            <w:vAlign w:val="center"/>
          </w:tcPr>
          <w:p>
            <w:pPr>
              <w:spacing w:line="240" w:lineRule="auto"/>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90%</w:t>
            </w:r>
          </w:p>
        </w:tc>
        <w:tc>
          <w:tcPr>
            <w:tcW w:w="809" w:type="dxa"/>
            <w:vAlign w:val="center"/>
          </w:tcPr>
          <w:p>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0</w:t>
            </w:r>
          </w:p>
        </w:tc>
        <w:tc>
          <w:tcPr>
            <w:tcW w:w="1383"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hAnsi="Arial" w:eastAsia="仿宋_GB2312" w:cs="Arial"/>
                <w:snapToGrid w:val="0"/>
                <w:color w:val="000000"/>
                <w:kern w:val="0"/>
                <w:sz w:val="21"/>
                <w:szCs w:val="21"/>
                <w:lang w:val="en-US" w:eastAsia="en-US" w:bidi="ar-SA"/>
              </w:rPr>
              <w:t>工作任务重，经费超支部分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single" w:color="000000" w:sz="4" w:space="0"/>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single" w:color="000000" w:sz="4" w:space="0"/>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收缴违规资金，有效利用资源</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构筑良好的政治生态，无负面影响</w:t>
            </w:r>
          </w:p>
        </w:tc>
        <w:tc>
          <w:tcPr>
            <w:tcW w:w="1099" w:type="dxa"/>
            <w:vAlign w:val="center"/>
          </w:tcPr>
          <w:p>
            <w:pPr>
              <w:spacing w:line="240" w:lineRule="auto"/>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≥90%</w:t>
            </w:r>
          </w:p>
        </w:tc>
        <w:tc>
          <w:tcPr>
            <w:tcW w:w="1099" w:type="dxa"/>
            <w:vAlign w:val="center"/>
          </w:tcPr>
          <w:p>
            <w:pPr>
              <w:spacing w:line="240" w:lineRule="auto"/>
              <w:jc w:val="both"/>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达到预期目标</w:t>
            </w:r>
          </w:p>
        </w:tc>
        <w:tc>
          <w:tcPr>
            <w:tcW w:w="80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849" w:type="dxa"/>
            <w:vAlign w:val="center"/>
          </w:tcPr>
          <w:p>
            <w:pPr>
              <w:spacing w:line="240" w:lineRule="auto"/>
              <w:ind w:firstLine="420" w:firstLineChars="0"/>
              <w:jc w:val="center"/>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cs="Arial"/>
                <w:snapToGrid w:val="0"/>
                <w:color w:val="000000"/>
                <w:kern w:val="0"/>
                <w:sz w:val="21"/>
                <w:szCs w:val="21"/>
                <w:lang w:val="en-US" w:eastAsia="zh-CN" w:bidi="ar-SA"/>
              </w:rPr>
              <w:t>4</w:t>
            </w:r>
          </w:p>
        </w:tc>
        <w:tc>
          <w:tcPr>
            <w:tcW w:w="1383"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96</w:t>
            </w: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before="52" w:line="219" w:lineRule="auto"/>
        <w:jc w:val="left"/>
        <w:rPr>
          <w:rFonts w:ascii="仿宋_GB2312" w:hAnsi="宋体" w:eastAsia="仿宋_GB2312" w:cs="宋体"/>
          <w:kern w:val="0"/>
          <w:lang w:eastAsia="zh-CN"/>
        </w:rPr>
      </w:pPr>
    </w:p>
    <w:p>
      <w:pPr>
        <w:kinsoku w:val="0"/>
        <w:autoSpaceDE w:val="0"/>
        <w:autoSpaceDN w:val="0"/>
        <w:adjustRightInd w:val="0"/>
        <w:snapToGrid w:val="0"/>
        <w:spacing w:line="240" w:lineRule="auto"/>
        <w:jc w:val="left"/>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狄长霞</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2023年1月4日</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07305222782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吴朝霞</w:t>
      </w:r>
    </w:p>
    <w:p>
      <w:pPr>
        <w:rPr>
          <w:rFonts w:hint="eastAsia" w:ascii="仿宋_GB2312" w:hAnsi="宋体" w:eastAsia="仿宋_GB2312" w:cs="宋体"/>
          <w:snapToGrid w:val="0"/>
          <w:color w:val="000000"/>
          <w:sz w:val="21"/>
          <w:szCs w:val="21"/>
          <w:lang w:val="en-US" w:eastAsia="zh-CN" w:bidi="ar-SA"/>
        </w:rPr>
        <w:sectPr>
          <w:footerReference r:id="rId7" w:type="default"/>
          <w:pgSz w:w="11907" w:h="16839"/>
          <w:pgMar w:top="1531" w:right="1474" w:bottom="1531" w:left="1587" w:header="0" w:footer="1588" w:gutter="0"/>
          <w:pgBorders>
            <w:top w:val="none" w:sz="0" w:space="0"/>
            <w:left w:val="none" w:sz="0" w:space="0"/>
            <w:bottom w:val="none" w:sz="0" w:space="0"/>
            <w:right w:val="none" w:sz="0" w:space="0"/>
          </w:pgBorders>
          <w:pgNumType w:fmt="numberInDash"/>
          <w:cols w:space="720" w:num="1"/>
          <w:docGrid w:linePitch="286" w:charSpace="0"/>
        </w:sect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汨罗市纪委</w:t>
      </w:r>
      <w:r>
        <w:rPr>
          <w:rFonts w:hint="eastAsia" w:ascii="方正小标宋简体" w:hAnsi="宋体" w:eastAsia="方正小标宋简体" w:cs="宋体"/>
          <w:kern w:val="0"/>
          <w:sz w:val="44"/>
          <w:szCs w:val="44"/>
          <w:lang w:eastAsia="zh-CN"/>
        </w:rPr>
        <w:t>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中国共产党汨罗市纪律检查委员会</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2023 </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 xml:space="preserve"> 1 </w:t>
      </w:r>
      <w:r>
        <w:rPr>
          <w:rFonts w:hint="eastAsia" w:ascii="楷体_GB2312" w:hAnsi="楷体" w:eastAsia="楷体_GB2312" w:cs="楷体"/>
          <w:b/>
          <w:bCs/>
          <w:spacing w:val="-13"/>
          <w:kern w:val="0"/>
          <w:sz w:val="32"/>
          <w:szCs w:val="32"/>
          <w:lang w:eastAsia="zh-CN"/>
        </w:rPr>
        <w:t>月</w:t>
      </w:r>
      <w:r>
        <w:rPr>
          <w:rFonts w:hint="eastAsia" w:ascii="楷体_GB2312" w:hAnsi="楷体" w:eastAsia="楷体_GB2312" w:cs="楷体"/>
          <w:b/>
          <w:bCs/>
          <w:spacing w:val="-13"/>
          <w:kern w:val="0"/>
          <w:sz w:val="32"/>
          <w:szCs w:val="32"/>
          <w:lang w:val="en-US" w:eastAsia="zh-CN"/>
        </w:rPr>
        <w:t xml:space="preserve"> 4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hint="eastAsia" w:ascii="黑体" w:hAnsi="黑体" w:eastAsia="黑体" w:cs="黑体"/>
              <w:snapToGrid w:val="0"/>
              <w:color w:val="000000"/>
              <w:spacing w:val="16"/>
              <w:kern w:val="0"/>
              <w:sz w:val="40"/>
              <w:szCs w:val="40"/>
              <w:lang w:val="en-US" w:eastAsia="zh-CN" w:bidi="ar-SA"/>
            </w:rPr>
          </w:pPr>
        </w:p>
      </w:sdtContent>
    </w:sdt>
    <w:p>
      <w:pPr>
        <w:spacing w:before="130" w:line="221" w:lineRule="auto"/>
        <w:jc w:val="center"/>
        <w:rPr>
          <w:rFonts w:hint="eastAsia" w:ascii="黑体" w:hAnsi="黑体" w:eastAsia="黑体" w:cs="黑体"/>
          <w:snapToGrid w:val="0"/>
          <w:color w:val="000000"/>
          <w:spacing w:val="16"/>
          <w:kern w:val="0"/>
          <w:sz w:val="40"/>
          <w:szCs w:val="40"/>
          <w:lang w:val="en-US" w:eastAsia="zh-CN" w:bidi="ar-SA"/>
        </w:rPr>
      </w:pPr>
      <w:r>
        <w:rPr>
          <w:rFonts w:hint="eastAsia" w:ascii="黑体" w:hAnsi="黑体" w:eastAsia="黑体" w:cs="黑体"/>
          <w:snapToGrid w:val="0"/>
          <w:color w:val="000000"/>
          <w:spacing w:val="16"/>
          <w:kern w:val="0"/>
          <w:sz w:val="40"/>
          <w:szCs w:val="40"/>
          <w:lang w:val="en-US" w:eastAsia="zh-CN" w:bidi="ar-SA"/>
        </w:rPr>
        <w:t>2022年度汨罗市纪委整体支出绩效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一、部门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1、主要职能</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市纪委监察委合署办公，实行“两块牌子，一套人马”工作模式。市纪委、市监委是党统一领导下的反腐败工作机构，履行纪检、监察两项职责，实行一套工作机构、两个机关名称，共同设立内设机构。按照党章规定，市纪委作为党内纪律检查机关要维护党的章程和其他党内法规，检查党的路线、方针、政策和决议的执行情况，协助市委加强党风廉政建设和组织协调反腐败工作。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市监察委负责对本市所有行使公权力的公职人员依法实施监察；履行监督、调查、处置职责，监督检查公职人员依法履职、秉公用权、廉洁从政以及道德操守情况，调查涉嫌贪污贿赂、滥用职权、玩忽职守、权力寻租、利益输送、徇私舞弊以及浪费国家资财等职务违法和职务犯罪行为并作出处置决定，对涉嫌职务犯罪的，移送检察机关依法提起公诉。为履行上述职权，监察委员会可以采取谈话、讯问、询问、查询、冻结、调取、查封、扣押、搜查、勘验检查、鉴定、留置等措施。</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2、机构设置情况</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市纪委(市监委)机关设13个副科级的内设机构、1个副科级公益类事业单位、1个正股级公益类事业单位，设13个派驻纪检监察组。市委巡察办和3个巡察组、1个下属事业单位设在市纪委。</w:t>
      </w:r>
    </w:p>
    <w:p>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 xml:space="preserve">  13个副科级内设机构依次为：办公室（加挂宣传部、调研法规室）、组织部、党风政风监督室、信访室、案件监督管理室、纪检监察干部监督室、第一至第六纪检监察室、案件审理室。副科级公益类事业单位为汨罗市纪委廉政警示教育中心。正股级公益类事业单位为汨罗市纪委信息中心及市委巡察办信息中心。派驻纪检监察组及市纪委廉政警示教育中心、信息中心、市委巡察办、巡察组、巡察办信息中心均未独立预算，与市纪委一并编制部门预算。</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（一）</w:t>
      </w:r>
      <w:r>
        <w:rPr>
          <w:rFonts w:hint="eastAsia" w:ascii="Times New Roman" w:hAnsi="Times New Roman" w:eastAsia="仿宋_GB2312"/>
          <w:kern w:val="0"/>
          <w:sz w:val="32"/>
          <w:szCs w:val="32"/>
          <w:lang w:eastAsia="zh-CN"/>
        </w:rPr>
        <w:t>基本支出情况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基本支出1960.46万元，其中：人员经费1460.31万元，主要用于人员工资及社保公积金缴纳等；日常公用经费500.15万元，主要用于日常办公开支。2022年市纪委一般公共预算财政拨款“三公”经费支出年初预算为79.2万元，决算支出为41.84万元。其中：公务用车运行维护费13.63万元，公务接待费5.33万元，公务用车购置费22.88万元。2022年度无因公出国（境）费支出及团组数和人数；公务用车保有量2辆，为执法执勤用车。公务接待76批次388人次。</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楷体_GB2312"/>
          <w:b/>
          <w:kern w:val="0"/>
          <w:sz w:val="32"/>
          <w:szCs w:val="32"/>
          <w:lang w:eastAsia="zh-CN"/>
        </w:rPr>
        <w:t>（二）</w:t>
      </w:r>
      <w:r>
        <w:rPr>
          <w:rFonts w:hint="eastAsia" w:ascii="Times New Roman" w:hAnsi="Times New Roman" w:eastAsia="仿宋_GB2312"/>
          <w:kern w:val="0"/>
          <w:sz w:val="32"/>
          <w:szCs w:val="32"/>
          <w:lang w:eastAsia="zh-CN"/>
        </w:rPr>
        <w:t>项目支出情况</w:t>
      </w:r>
    </w:p>
    <w:p>
      <w:pPr>
        <w:pStyle w:val="9"/>
        <w:spacing w:line="600" w:lineRule="exact"/>
        <w:ind w:firstLine="643"/>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 xml:space="preserve"> 2022年专项资金共投入398.24万元，其中年初预算安排86万元，年中追加312.24万元。追加的主要原因是年初专项预算不足，办案业务量增大，办案成本增加。主要用于乡镇纪检监察专项津贴发放、大要案办案、互联网+监督及纪检信息网络维护、巡察办工作、廉政警示教育中心运行等工作。</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我单位无政府性基金预算支出。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四、国有资本经营预算支出情况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我单位无国有资本经营预算支出。</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五、社会保险基金预算支出情况</w:t>
      </w:r>
    </w:p>
    <w:p>
      <w:pPr>
        <w:pStyle w:val="10"/>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我单位无社会保险基金预算支出。</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本单位各项项目资金其主要用途是确保单位的正常运转，促进各项工作任务顺利完成。在人员经费支出、公共支出严格执行市委市政府的各项制度；在项目经费的使用上，在保证各项任务顺利完成的同时，严格落实厉行节约的原则；三公经费的使用严格控制在预算申报的范围内。</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1.在固定资产管理方面的制度尚不够健全。</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 xml:space="preserve"> 2.履职时在经济效益和社会效益实现上还有进步空间。</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3.资金使用效率有待进一步提高。</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1.进一步完善财务制度，规范财经纪律，加强财务管理，提高财务工作水平。</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2.充实财务人员，加强财务人员培训，不断提高财务人员素质。</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eastAsia="zh-CN"/>
        </w:rPr>
        <w:t>3.进一步提高各项内部管理制度执行效率，如预算管理制度、资产管理制度、办案费用管理制度需进一步细化，更贴合单位实际工作，并严格遵守，按要求执行到底。</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pPr>
        <w:spacing w:line="600" w:lineRule="exact"/>
        <w:ind w:firstLine="640" w:firstLineChars="200"/>
        <w:jc w:val="both"/>
        <w:rPr>
          <w:rFonts w:hint="eastAsia" w:ascii="方正黑体_GBK" w:eastAsia="方正黑体_GBK"/>
          <w:kern w:val="0"/>
          <w:sz w:val="32"/>
          <w:szCs w:val="32"/>
          <w:lang w:eastAsia="zh-CN"/>
        </w:rPr>
      </w:pPr>
      <w:r>
        <w:rPr>
          <w:rFonts w:hint="eastAsia" w:eastAsia="仿宋_GB2312"/>
          <w:kern w:val="0"/>
          <w:sz w:val="32"/>
          <w:szCs w:val="32"/>
          <w:lang w:eastAsia="zh-CN"/>
        </w:rPr>
        <w:t>根据《项目支出绩效评价办法》（财预〔2020〕10号）中《项目支出绩效评价报告（参考提纲）》、《湖南省预算支出绩效评价管理办法》（湘财绩〔2020〕7号），</w:t>
      </w:r>
      <w:r>
        <w:rPr>
          <w:rFonts w:hint="eastAsia" w:eastAsia="仿宋_GB2312"/>
          <w:kern w:val="0"/>
          <w:sz w:val="32"/>
          <w:szCs w:val="32"/>
          <w:lang w:val="en-US" w:eastAsia="zh-CN"/>
        </w:rPr>
        <w:t>2022年部门绩效自评经财政局审核后，将按要求在汨罗市人民政府网进行公开，主动接受社会监督。</w:t>
      </w:r>
    </w:p>
    <w:p>
      <w:pPr>
        <w:spacing w:line="600" w:lineRule="exact"/>
        <w:ind w:firstLine="640" w:firstLineChars="200"/>
        <w:jc w:val="both"/>
        <w:rPr>
          <w:rFonts w:hint="eastAsia" w:eastAsia="黑体"/>
          <w:kern w:val="0"/>
          <w:sz w:val="32"/>
          <w:szCs w:val="32"/>
          <w:lang w:eastAsia="zh-CN"/>
        </w:rPr>
      </w:pPr>
      <w:r>
        <w:rPr>
          <w:rFonts w:hint="eastAsia" w:eastAsia="黑体"/>
          <w:kern w:val="0"/>
          <w:sz w:val="32"/>
          <w:szCs w:val="32"/>
          <w:lang w:eastAsia="zh-CN"/>
        </w:rPr>
        <w:t>十、其他需要说明的情况</w:t>
      </w:r>
    </w:p>
    <w:p>
      <w:pPr>
        <w:spacing w:line="600" w:lineRule="exact"/>
        <w:ind w:firstLine="640" w:firstLineChars="200"/>
        <w:jc w:val="both"/>
        <w:rPr>
          <w:rFonts w:hint="eastAsia" w:eastAsia="仿宋_GB2312"/>
          <w:kern w:val="0"/>
          <w:sz w:val="32"/>
          <w:szCs w:val="32"/>
          <w:lang w:eastAsia="zh-CN"/>
        </w:rPr>
      </w:pPr>
      <w:r>
        <w:rPr>
          <w:rFonts w:hint="eastAsia" w:eastAsia="仿宋_GB2312"/>
          <w:kern w:val="0"/>
          <w:sz w:val="32"/>
          <w:szCs w:val="32"/>
          <w:lang w:eastAsia="zh-CN"/>
        </w:rPr>
        <w:t>无。</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rPr>
          <w:rFonts w:hint="eastAsia"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br w:type="page"/>
      </w: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5-1</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p>
    <w:p>
      <w:pPr>
        <w:spacing w:before="201" w:line="578" w:lineRule="exact"/>
        <w:jc w:val="center"/>
        <w:rPr>
          <w:rFonts w:hint="eastAsia" w:ascii="黑体" w:hAnsi="黑体" w:eastAsia="黑体" w:cs="黑体"/>
          <w:sz w:val="42"/>
          <w:szCs w:val="42"/>
        </w:rPr>
      </w:pPr>
      <w:r>
        <w:rPr>
          <w:rFonts w:hint="eastAsia"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2</w:t>
      </w:r>
      <w:r>
        <w:rPr>
          <w:rFonts w:hint="eastAsia"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大要案专项</w:t>
      </w:r>
      <w:r>
        <w:rPr>
          <w:rFonts w:hint="eastAsia" w:ascii="黑体" w:hAnsi="黑体" w:eastAsia="黑体" w:cs="黑体"/>
          <w:spacing w:val="15"/>
          <w:position w:val="10"/>
          <w:sz w:val="42"/>
          <w:szCs w:val="42"/>
        </w:rPr>
        <w:t>项目支出</w:t>
      </w:r>
    </w:p>
    <w:p>
      <w:pPr>
        <w:spacing w:before="1" w:line="220" w:lineRule="auto"/>
        <w:ind w:left="3069"/>
        <w:rPr>
          <w:rFonts w:hint="eastAsia" w:ascii="黑体" w:hAnsi="黑体" w:eastAsia="黑体" w:cs="黑体"/>
          <w:sz w:val="42"/>
          <w:szCs w:val="42"/>
        </w:rPr>
      </w:pPr>
      <w:r>
        <w:rPr>
          <w:rFonts w:hint="eastAsia" w:ascii="黑体" w:hAnsi="黑体" w:eastAsia="黑体" w:cs="黑体"/>
          <w:spacing w:val="10"/>
          <w:sz w:val="42"/>
          <w:szCs w:val="42"/>
        </w:rPr>
        <w:t>绩效自评报告</w:t>
      </w:r>
    </w:p>
    <w:p>
      <w:pPr>
        <w:spacing w:line="246" w:lineRule="auto"/>
        <w:rPr>
          <w:rFonts w:hint="eastAsia" w:ascii="黑体" w:hAnsi="黑体" w:eastAsia="黑体" w:cs="黑体"/>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中国共产党汨罗市纪律检查委员会</w:t>
      </w:r>
    </w:p>
    <w:p>
      <w:pPr>
        <w:pStyle w:val="2"/>
        <w:spacing w:before="289" w:line="610" w:lineRule="exact"/>
        <w:ind w:left="3490"/>
        <w:rPr>
          <w:sz w:val="27"/>
          <w:szCs w:val="27"/>
        </w:rPr>
      </w:pPr>
      <w:r>
        <w:rPr>
          <w:rFonts w:hint="eastAsia"/>
          <w:spacing w:val="-13"/>
          <w:position w:val="26"/>
          <w:sz w:val="27"/>
          <w:szCs w:val="27"/>
          <w:lang w:val="en-US" w:eastAsia="zh-CN"/>
        </w:rPr>
        <w:t xml:space="preserve">2023 </w:t>
      </w:r>
      <w:r>
        <w:rPr>
          <w:spacing w:val="-13"/>
          <w:position w:val="26"/>
          <w:sz w:val="27"/>
          <w:szCs w:val="27"/>
        </w:rPr>
        <w:t>年</w:t>
      </w:r>
      <w:r>
        <w:rPr>
          <w:rFonts w:hint="eastAsia"/>
          <w:spacing w:val="-13"/>
          <w:position w:val="26"/>
          <w:sz w:val="27"/>
          <w:szCs w:val="27"/>
          <w:lang w:val="en-US" w:eastAsia="zh-CN"/>
        </w:rPr>
        <w:t xml:space="preserve"> 1 </w:t>
      </w:r>
      <w:r>
        <w:rPr>
          <w:spacing w:val="-13"/>
          <w:position w:val="26"/>
          <w:sz w:val="27"/>
          <w:szCs w:val="27"/>
        </w:rPr>
        <w:t>月</w:t>
      </w:r>
      <w:r>
        <w:rPr>
          <w:rFonts w:hint="eastAsia"/>
          <w:spacing w:val="-13"/>
          <w:position w:val="26"/>
          <w:sz w:val="27"/>
          <w:szCs w:val="27"/>
          <w:lang w:val="en-US" w:eastAsia="zh-CN"/>
        </w:rPr>
        <w:t xml:space="preserve"> </w:t>
      </w:r>
      <w:r>
        <w:rPr>
          <w:rFonts w:hint="eastAsia"/>
          <w:spacing w:val="12"/>
          <w:position w:val="26"/>
          <w:sz w:val="27"/>
          <w:szCs w:val="27"/>
          <w:lang w:val="en-US" w:eastAsia="zh-CN"/>
        </w:rPr>
        <w:t xml:space="preserve">4 </w:t>
      </w:r>
      <w:r>
        <w:rPr>
          <w:spacing w:val="-13"/>
          <w:position w:val="26"/>
          <w:sz w:val="27"/>
          <w:szCs w:val="27"/>
        </w:rPr>
        <w:t>日</w:t>
      </w:r>
    </w:p>
    <w:p>
      <w:pPr>
        <w:spacing w:line="223" w:lineRule="auto"/>
        <w:rPr>
          <w:sz w:val="24"/>
          <w:szCs w:val="24"/>
        </w:rPr>
        <w:sectPr>
          <w:footerReference r:id="rId8"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pPr>
        <w:adjustRightInd w:val="0"/>
        <w:snapToGrid w:val="0"/>
        <w:jc w:val="center"/>
        <w:rPr>
          <w:rFonts w:hint="eastAsia" w:ascii="华文中宋" w:hAnsi="华文中宋" w:eastAsia="华文中宋"/>
          <w:sz w:val="36"/>
        </w:rPr>
      </w:pPr>
    </w:p>
    <w:p>
      <w:pPr>
        <w:adjustRightInd w:val="0"/>
        <w:snapToGrid w:val="0"/>
        <w:spacing w:line="360" w:lineRule="auto"/>
        <w:jc w:val="center"/>
        <w:rPr>
          <w:rFonts w:hint="eastAsia" w:ascii="华文中宋" w:hAnsi="华文中宋" w:eastAsia="华文中宋"/>
          <w:sz w:val="36"/>
        </w:rPr>
      </w:pPr>
      <w:r>
        <w:rPr>
          <w:rFonts w:hint="eastAsia" w:ascii="华文中宋" w:hAnsi="华文中宋" w:eastAsia="华文中宋"/>
          <w:sz w:val="36"/>
        </w:rPr>
        <w:t>项目支出绩效评价报告</w:t>
      </w:r>
    </w:p>
    <w:p>
      <w:pPr>
        <w:adjustRightInd w:val="0"/>
        <w:snapToGrid w:val="0"/>
        <w:spacing w:line="360" w:lineRule="auto"/>
        <w:jc w:val="center"/>
        <w:rPr>
          <w:rFonts w:hint="eastAsia"/>
          <w:sz w:val="28"/>
        </w:rPr>
      </w:pPr>
      <w:r>
        <w:rPr>
          <w:rFonts w:hint="eastAsia"/>
          <w:sz w:val="28"/>
        </w:rPr>
        <w:t>（大要案专项）</w:t>
      </w:r>
    </w:p>
    <w:p>
      <w:pPr>
        <w:adjustRightInd w:val="0"/>
        <w:snapToGrid w:val="0"/>
        <w:jc w:val="center"/>
        <w:rPr>
          <w:rFonts w:hint="eastAsia"/>
          <w:sz w:val="28"/>
        </w:rPr>
      </w:pPr>
    </w:p>
    <w:p>
      <w:pPr>
        <w:adjustRightInd w:val="0"/>
        <w:snapToGrid w:val="0"/>
        <w:jc w:val="center"/>
        <w:rPr>
          <w:rFonts w:hint="eastAsia"/>
          <w:sz w:val="28"/>
        </w:rPr>
      </w:pP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一、项目支出基本情况</w:t>
      </w:r>
    </w:p>
    <w:p>
      <w:pPr>
        <w:adjustRightInd w:val="0"/>
        <w:snapToGrid w:val="0"/>
        <w:spacing w:line="360" w:lineRule="auto"/>
        <w:rPr>
          <w:rFonts w:ascii="Times New Roman" w:hAnsi="Times New Roman"/>
          <w:sz w:val="28"/>
          <w:szCs w:val="28"/>
        </w:rPr>
      </w:pPr>
      <w:r>
        <w:rPr>
          <w:rFonts w:ascii="Times New Roman" w:hAnsi="宋体"/>
          <w:sz w:val="28"/>
          <w:szCs w:val="28"/>
        </w:rPr>
        <w:t>（一）项目支出概况</w:t>
      </w:r>
    </w:p>
    <w:p>
      <w:pPr>
        <w:adjustRightInd w:val="0"/>
        <w:snapToGrid w:val="0"/>
        <w:spacing w:line="360" w:lineRule="auto"/>
        <w:ind w:firstLine="560" w:firstLineChars="200"/>
        <w:rPr>
          <w:rFonts w:ascii="Times New Roman" w:hAnsi="Times New Roman"/>
          <w:sz w:val="28"/>
          <w:szCs w:val="28"/>
        </w:rPr>
      </w:pPr>
      <w:r>
        <w:rPr>
          <w:rFonts w:hint="eastAsia" w:ascii="Times New Roman" w:hAnsi="宋体"/>
          <w:sz w:val="28"/>
          <w:szCs w:val="28"/>
        </w:rPr>
        <w:t>为保障纪检监察工作正常开展，202</w:t>
      </w:r>
      <w:r>
        <w:rPr>
          <w:rFonts w:hint="eastAsia" w:ascii="Times New Roman" w:hAnsi="宋体" w:eastAsia="宋体"/>
          <w:sz w:val="28"/>
          <w:szCs w:val="28"/>
          <w:lang w:val="en-US" w:eastAsia="zh-CN"/>
        </w:rPr>
        <w:t>2</w:t>
      </w:r>
      <w:r>
        <w:rPr>
          <w:rFonts w:hint="eastAsia" w:ascii="Times New Roman" w:hAnsi="宋体"/>
          <w:sz w:val="28"/>
          <w:szCs w:val="28"/>
        </w:rPr>
        <w:t>年度大要案办案经费年初预算</w:t>
      </w:r>
      <w:r>
        <w:rPr>
          <w:rFonts w:hint="eastAsia" w:ascii="Times New Roman" w:hAnsi="宋体" w:eastAsia="宋体"/>
          <w:sz w:val="28"/>
          <w:szCs w:val="28"/>
          <w:lang w:val="en-US" w:eastAsia="zh-CN"/>
        </w:rPr>
        <w:t>2</w:t>
      </w:r>
      <w:r>
        <w:rPr>
          <w:rFonts w:hint="eastAsia" w:ascii="Times New Roman" w:hAnsi="宋体"/>
          <w:sz w:val="28"/>
          <w:szCs w:val="28"/>
        </w:rPr>
        <w:t>1万元，专项用于纪委案件查办工作，保障基层纪律审查工作等。</w:t>
      </w:r>
    </w:p>
    <w:p>
      <w:pPr>
        <w:adjustRightInd w:val="0"/>
        <w:snapToGrid w:val="0"/>
        <w:spacing w:line="360" w:lineRule="auto"/>
        <w:rPr>
          <w:rFonts w:ascii="Times New Roman" w:hAnsi="Times New Roman"/>
          <w:sz w:val="28"/>
          <w:szCs w:val="28"/>
        </w:rPr>
      </w:pPr>
      <w:r>
        <w:rPr>
          <w:rFonts w:ascii="Times New Roman" w:hAnsi="宋体"/>
          <w:sz w:val="28"/>
          <w:szCs w:val="28"/>
        </w:rPr>
        <w:t>（二）项目资金使用管理情况</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202</w:t>
      </w:r>
      <w:r>
        <w:rPr>
          <w:rFonts w:hint="eastAsia" w:ascii="Times New Roman" w:hAnsi="Times New Roman" w:eastAsia="宋体"/>
          <w:sz w:val="28"/>
          <w:szCs w:val="28"/>
          <w:lang w:val="en-US" w:eastAsia="zh-CN"/>
        </w:rPr>
        <w:t>2</w:t>
      </w:r>
      <w:r>
        <w:rPr>
          <w:rFonts w:hint="eastAsia" w:ascii="Times New Roman" w:hAnsi="Times New Roman"/>
          <w:sz w:val="28"/>
          <w:szCs w:val="28"/>
        </w:rPr>
        <w:t>年度大要案办案经费共支出</w:t>
      </w:r>
      <w:r>
        <w:rPr>
          <w:rFonts w:hint="eastAsia" w:ascii="Times New Roman" w:hAnsi="Times New Roman" w:eastAsia="宋体"/>
          <w:sz w:val="28"/>
          <w:szCs w:val="28"/>
          <w:lang w:eastAsia="zh-CN"/>
        </w:rPr>
        <w:t>186.22</w:t>
      </w:r>
      <w:r>
        <w:rPr>
          <w:rFonts w:hint="eastAsia" w:ascii="Times New Roman" w:hAnsi="Times New Roman"/>
          <w:sz w:val="28"/>
          <w:szCs w:val="28"/>
        </w:rPr>
        <w:t>万元。主要用于：办案陪护人员工资、办案住宿费、差旅费、专案审计费、法律服务费、其他办案点收办案成本等。追加经费的主要原因是专案大案数量增加、办案业务量增大，办案成本增加。在使用专项资金时，严格执行专项资金使用制度和财务制度，同时对各项专项资金的使用流程进行监督，定时查看财务表报检查专项资金使用情况。</w:t>
      </w:r>
    </w:p>
    <w:p>
      <w:pPr>
        <w:adjustRightInd w:val="0"/>
        <w:snapToGrid w:val="0"/>
        <w:spacing w:line="360" w:lineRule="auto"/>
        <w:rPr>
          <w:rFonts w:ascii="Times New Roman" w:hAnsi="Times New Roman"/>
          <w:sz w:val="28"/>
          <w:szCs w:val="28"/>
        </w:rPr>
      </w:pPr>
      <w:r>
        <w:rPr>
          <w:rFonts w:ascii="Times New Roman" w:hAnsi="宋体"/>
          <w:sz w:val="28"/>
          <w:szCs w:val="28"/>
        </w:rPr>
        <w:t>（三）项目支出绩效目标完成程度</w:t>
      </w:r>
    </w:p>
    <w:p>
      <w:pPr>
        <w:adjustRightInd w:val="0"/>
        <w:snapToGrid w:val="0"/>
        <w:spacing w:line="360" w:lineRule="auto"/>
        <w:ind w:firstLine="560" w:firstLineChars="200"/>
        <w:rPr>
          <w:rFonts w:ascii="Times New Roman" w:hAnsi="Times New Roman"/>
          <w:sz w:val="28"/>
          <w:szCs w:val="28"/>
        </w:rPr>
      </w:pPr>
      <w:r>
        <w:rPr>
          <w:rFonts w:ascii="Times New Roman" w:hAnsi="Times New Roman"/>
          <w:sz w:val="28"/>
          <w:szCs w:val="28"/>
        </w:rPr>
        <w:t>202</w:t>
      </w:r>
      <w:r>
        <w:rPr>
          <w:rFonts w:hint="eastAsia" w:ascii="Times New Roman" w:hAnsi="Times New Roman" w:eastAsia="宋体"/>
          <w:sz w:val="28"/>
          <w:szCs w:val="28"/>
          <w:lang w:val="en-US" w:eastAsia="zh-CN"/>
        </w:rPr>
        <w:t>2</w:t>
      </w:r>
      <w:r>
        <w:rPr>
          <w:rFonts w:ascii="Times New Roman" w:hAnsi="宋体"/>
          <w:sz w:val="28"/>
          <w:szCs w:val="28"/>
        </w:rPr>
        <w:t>年本项目安排责任人，按专项资金的用途专款专用，达到预期指标。产出指标、效益指标、满意度指标均达到预期指标。完成情况良好。</w:t>
      </w:r>
      <w:r>
        <w:rPr>
          <w:rFonts w:ascii="Times New Roman" w:hAnsi="Times New Roman"/>
          <w:sz w:val="28"/>
          <w:szCs w:val="28"/>
        </w:rPr>
        <w:t xml:space="preserve">  </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二、绩效评价工作情况</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坚持有腐必反，有案必查，做到反腐无禁区、全覆盖、零容忍，先后严肃查处了周某、翁某某等违纪违法典型案件。2022年全市共立案209件，给予党纪政务处分195人，其中乡科级干部9人，移送司法机关3人。在纪法震慑和政策感召下，全市共有4人向纪检监察机关主动投案或主动交代问题。运用监督执纪“四种形态”批评教育帮助和处理549人次，其中运用第一种形态批评教育帮助350人次，占比63.8%；运用第二种形态处理124人次，占比22.6%；运用第三种形态处理40人次，占比7.3%；运用第四种形态处理35人次，占比6.3%。在办案上重点聚焦“一把手”和班子成员，共有51名“一把手”和领导班子成员受到处理处分，同比增加4名。通过开展“三十佳”评选活动，线索处置和案件办理质量有了明显提升。2022年，汨罗市纪委监委未发生一例安全事故</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三、项目支出主要绩效及评价结论</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202</w:t>
      </w:r>
      <w:r>
        <w:rPr>
          <w:rFonts w:hint="eastAsia" w:ascii="Times New Roman" w:hAnsi="Times New Roman" w:eastAsia="宋体"/>
          <w:sz w:val="28"/>
          <w:szCs w:val="28"/>
          <w:lang w:val="en-US" w:eastAsia="zh-CN"/>
        </w:rPr>
        <w:t>2</w:t>
      </w:r>
      <w:r>
        <w:rPr>
          <w:rFonts w:hint="eastAsia" w:ascii="Times New Roman" w:hAnsi="Times New Roman"/>
          <w:sz w:val="28"/>
          <w:szCs w:val="28"/>
        </w:rPr>
        <w:t>年，全年按计划进度完成。坚持有腐必反，有案必查，做到反腐无禁区、全覆盖、零容忍；确保案件办理、审理质量。做到事实清楚、证据确凿、定性准确、处理恰当、手续完备、程序合规；确保了办案安全。</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四、绩效评价指标分析</w:t>
      </w:r>
    </w:p>
    <w:p>
      <w:pPr>
        <w:widowControl/>
        <w:adjustRightInd w:val="0"/>
        <w:snapToGrid w:val="0"/>
        <w:spacing w:line="360" w:lineRule="auto"/>
        <w:rPr>
          <w:rFonts w:ascii="Times New Roman" w:hAnsi="Times New Roman"/>
          <w:sz w:val="28"/>
          <w:szCs w:val="28"/>
        </w:rPr>
      </w:pPr>
      <w:r>
        <w:rPr>
          <w:rFonts w:ascii="Times New Roman" w:hAnsi="宋体"/>
          <w:sz w:val="28"/>
          <w:szCs w:val="28"/>
        </w:rPr>
        <w:t>（一）项目支出决策情况。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在项目资金的申报、批复及预算调整上，我们严格按程序办理，资金申报上，严格报送审批程序，保证并监管资金落实。</w:t>
      </w:r>
    </w:p>
    <w:p>
      <w:pPr>
        <w:widowControl/>
        <w:adjustRightInd w:val="0"/>
        <w:snapToGrid w:val="0"/>
        <w:spacing w:line="360" w:lineRule="auto"/>
        <w:rPr>
          <w:rFonts w:ascii="Times New Roman" w:hAnsi="Times New Roman"/>
          <w:sz w:val="28"/>
          <w:szCs w:val="28"/>
        </w:rPr>
      </w:pPr>
      <w:r>
        <w:rPr>
          <w:rFonts w:ascii="Times New Roman" w:hAnsi="宋体"/>
          <w:sz w:val="28"/>
          <w:szCs w:val="28"/>
        </w:rPr>
        <w:t>（二）项目执行过程情况。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严格督促项目实施和资金使用，切实发挥好财政资金使用效益，</w:t>
      </w:r>
      <w:r>
        <w:rPr>
          <w:rFonts w:hint="eastAsia" w:ascii="Times New Roman" w:hAnsi="Times New Roman"/>
          <w:sz w:val="28"/>
          <w:szCs w:val="28"/>
        </w:rPr>
        <w:t>专款专用，没有存在挪用或超范围开支的情况，</w:t>
      </w:r>
      <w:r>
        <w:rPr>
          <w:rFonts w:ascii="Times New Roman" w:hAnsi="宋体"/>
          <w:sz w:val="28"/>
          <w:szCs w:val="28"/>
        </w:rPr>
        <w:t>确保财政资金使用依法、规范、安全、高效。</w:t>
      </w:r>
      <w:r>
        <w:rPr>
          <w:rFonts w:hint="eastAsia" w:ascii="Times New Roman" w:hAnsi="Times New Roman"/>
          <w:sz w:val="28"/>
          <w:szCs w:val="28"/>
        </w:rPr>
        <w:t>在财务管理上，严格按照要求进行资金分配支出，会计核算规范。</w:t>
      </w:r>
    </w:p>
    <w:p>
      <w:pPr>
        <w:widowControl/>
        <w:adjustRightInd w:val="0"/>
        <w:snapToGrid w:val="0"/>
        <w:spacing w:line="360" w:lineRule="auto"/>
        <w:rPr>
          <w:rFonts w:ascii="Times New Roman" w:hAnsi="Times New Roman"/>
          <w:sz w:val="28"/>
          <w:szCs w:val="28"/>
        </w:rPr>
      </w:pPr>
      <w:r>
        <w:rPr>
          <w:rFonts w:ascii="Times New Roman" w:hAnsi="宋体"/>
          <w:sz w:val="28"/>
          <w:szCs w:val="28"/>
        </w:rPr>
        <w:t>（三）项目支出产出情况。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完成了目标任务。</w:t>
      </w:r>
      <w:r>
        <w:rPr>
          <w:rFonts w:hint="eastAsia" w:ascii="Times New Roman" w:hAnsi="Times New Roman"/>
          <w:sz w:val="28"/>
          <w:szCs w:val="28"/>
        </w:rPr>
        <w:t>全面从严治党，保持惩治腐败高压态势，营造了干部清正、政府清廉、政治清明、社会清新的环境，让人民群众在每一个案件中能感受到公平正义。</w:t>
      </w:r>
    </w:p>
    <w:p>
      <w:pPr>
        <w:widowControl/>
        <w:adjustRightInd w:val="0"/>
        <w:snapToGrid w:val="0"/>
        <w:spacing w:line="360" w:lineRule="auto"/>
        <w:rPr>
          <w:rFonts w:ascii="Times New Roman" w:hAnsi="Times New Roman"/>
          <w:sz w:val="28"/>
          <w:szCs w:val="28"/>
        </w:rPr>
      </w:pPr>
      <w:r>
        <w:rPr>
          <w:rFonts w:ascii="Times New Roman" w:hAnsi="宋体"/>
          <w:sz w:val="28"/>
          <w:szCs w:val="28"/>
        </w:rPr>
        <w:t>（四）项目支出效益情况。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专项资金落实到位，充分发挥了监督保障执行、促进完善发展作用，把全面从严治党不断引向深入，整治基层腐败，构筑良好的政治生态，群众满意度逐步提高。</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五、主要经验及做法、存在的问题及原因分析</w:t>
      </w:r>
    </w:p>
    <w:p>
      <w:pPr>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虽然财政资金使用规范，但也还存在可用财力偏小，不能满足日益增长的纪检工作需要，资金支出的绩效评价还有待加强等问题。</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六、有关建议</w:t>
      </w:r>
    </w:p>
    <w:p>
      <w:pPr>
        <w:adjustRightInd w:val="0"/>
        <w:snapToGrid w:val="0"/>
        <w:spacing w:line="360" w:lineRule="auto"/>
        <w:ind w:firstLine="560" w:firstLineChars="200"/>
        <w:rPr>
          <w:rFonts w:ascii="Times New Roman" w:hAnsi="Times New Roman" w:eastAsia="黑体"/>
          <w:sz w:val="28"/>
          <w:szCs w:val="28"/>
        </w:rPr>
      </w:pPr>
      <w:r>
        <w:rPr>
          <w:rFonts w:ascii="Times New Roman" w:hAnsi="宋体"/>
          <w:sz w:val="28"/>
          <w:szCs w:val="28"/>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pPr>
        <w:adjustRightInd w:val="0"/>
        <w:snapToGrid w:val="0"/>
        <w:spacing w:line="360" w:lineRule="auto"/>
        <w:rPr>
          <w:rFonts w:ascii="Times New Roman" w:hAnsi="Times New Roman"/>
          <w:sz w:val="28"/>
          <w:szCs w:val="28"/>
        </w:rPr>
      </w:pPr>
      <w:r>
        <w:rPr>
          <w:rFonts w:ascii="Times New Roman" w:hAnsi="黑体" w:eastAsia="黑体"/>
          <w:sz w:val="28"/>
          <w:szCs w:val="28"/>
        </w:rPr>
        <w:t>七、其他需要说明的情况</w:t>
      </w:r>
    </w:p>
    <w:p>
      <w:pPr>
        <w:adjustRightInd w:val="0"/>
        <w:snapToGrid w:val="0"/>
        <w:spacing w:line="360" w:lineRule="auto"/>
        <w:rPr>
          <w:rFonts w:ascii="Times New Roman" w:hAnsi="Times New Roman"/>
          <w:sz w:val="28"/>
          <w:szCs w:val="28"/>
        </w:rPr>
      </w:pPr>
      <w:r>
        <w:rPr>
          <w:rFonts w:ascii="Times New Roman" w:hAnsi="宋体"/>
          <w:sz w:val="28"/>
          <w:szCs w:val="28"/>
        </w:rPr>
        <w:t>无。</w:t>
      </w:r>
    </w:p>
    <w:p>
      <w:pPr>
        <w:rPr>
          <w:rFonts w:hint="eastAsia" w:eastAsia="仿宋_GB2312"/>
          <w:kern w:val="0"/>
          <w:sz w:val="32"/>
          <w:szCs w:val="32"/>
          <w:lang w:eastAsia="zh-CN"/>
        </w:rPr>
      </w:pPr>
      <w:r>
        <w:rPr>
          <w:rFonts w:hint="eastAsia" w:eastAsia="仿宋_GB2312"/>
          <w:kern w:val="0"/>
          <w:sz w:val="32"/>
          <w:szCs w:val="32"/>
          <w:lang w:eastAsia="zh-CN"/>
        </w:rPr>
        <w:br w:type="page"/>
      </w: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5-2</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p>
    <w:p>
      <w:pPr>
        <w:spacing w:before="201" w:line="578" w:lineRule="exact"/>
        <w:jc w:val="center"/>
        <w:rPr>
          <w:rFonts w:hint="eastAsia" w:ascii="黑体" w:hAnsi="黑体" w:eastAsia="黑体" w:cs="黑体"/>
          <w:sz w:val="42"/>
          <w:szCs w:val="42"/>
        </w:rPr>
      </w:pPr>
      <w:r>
        <w:rPr>
          <w:rFonts w:hint="eastAsia"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2</w:t>
      </w:r>
      <w:r>
        <w:rPr>
          <w:rFonts w:hint="eastAsia"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市委巡察经费</w:t>
      </w:r>
      <w:r>
        <w:rPr>
          <w:rFonts w:hint="eastAsia" w:ascii="黑体" w:hAnsi="黑体" w:eastAsia="黑体" w:cs="黑体"/>
          <w:spacing w:val="15"/>
          <w:position w:val="10"/>
          <w:sz w:val="42"/>
          <w:szCs w:val="42"/>
        </w:rPr>
        <w:t>项目支出</w:t>
      </w:r>
    </w:p>
    <w:p>
      <w:pPr>
        <w:spacing w:before="1" w:line="220" w:lineRule="auto"/>
        <w:ind w:left="3069"/>
        <w:rPr>
          <w:rFonts w:hint="eastAsia" w:ascii="黑体" w:hAnsi="黑体" w:eastAsia="黑体" w:cs="黑体"/>
          <w:sz w:val="42"/>
          <w:szCs w:val="42"/>
        </w:rPr>
      </w:pPr>
      <w:r>
        <w:rPr>
          <w:rFonts w:hint="eastAsia" w:ascii="黑体" w:hAnsi="黑体" w:eastAsia="黑体" w:cs="黑体"/>
          <w:spacing w:val="10"/>
          <w:sz w:val="42"/>
          <w:szCs w:val="42"/>
        </w:rPr>
        <w:t>绩效自评报告</w:t>
      </w:r>
    </w:p>
    <w:p>
      <w:pPr>
        <w:spacing w:line="246" w:lineRule="auto"/>
        <w:rPr>
          <w:rFonts w:hint="eastAsia" w:ascii="黑体" w:hAnsi="黑体" w:eastAsia="黑体" w:cs="黑体"/>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中国共产党汨罗市纪律检查委员会</w:t>
      </w:r>
    </w:p>
    <w:p>
      <w:pPr>
        <w:pStyle w:val="2"/>
        <w:spacing w:before="289" w:line="610" w:lineRule="exact"/>
        <w:ind w:left="3490"/>
        <w:rPr>
          <w:sz w:val="27"/>
          <w:szCs w:val="27"/>
        </w:rPr>
      </w:pPr>
      <w:r>
        <w:rPr>
          <w:rFonts w:hint="eastAsia"/>
          <w:spacing w:val="-13"/>
          <w:position w:val="26"/>
          <w:sz w:val="27"/>
          <w:szCs w:val="27"/>
          <w:lang w:val="en-US" w:eastAsia="zh-CN"/>
        </w:rPr>
        <w:t xml:space="preserve">2023 </w:t>
      </w:r>
      <w:r>
        <w:rPr>
          <w:spacing w:val="-13"/>
          <w:position w:val="26"/>
          <w:sz w:val="27"/>
          <w:szCs w:val="27"/>
        </w:rPr>
        <w:t>年</w:t>
      </w:r>
      <w:r>
        <w:rPr>
          <w:rFonts w:hint="eastAsia"/>
          <w:spacing w:val="-13"/>
          <w:position w:val="26"/>
          <w:sz w:val="27"/>
          <w:szCs w:val="27"/>
          <w:lang w:val="en-US" w:eastAsia="zh-CN"/>
        </w:rPr>
        <w:t xml:space="preserve"> 1 </w:t>
      </w:r>
      <w:r>
        <w:rPr>
          <w:spacing w:val="-13"/>
          <w:position w:val="26"/>
          <w:sz w:val="27"/>
          <w:szCs w:val="27"/>
        </w:rPr>
        <w:t>月</w:t>
      </w:r>
      <w:r>
        <w:rPr>
          <w:rFonts w:hint="eastAsia"/>
          <w:spacing w:val="-13"/>
          <w:position w:val="26"/>
          <w:sz w:val="27"/>
          <w:szCs w:val="27"/>
          <w:lang w:val="en-US" w:eastAsia="zh-CN"/>
        </w:rPr>
        <w:t xml:space="preserve"> </w:t>
      </w:r>
      <w:r>
        <w:rPr>
          <w:rFonts w:hint="eastAsia"/>
          <w:spacing w:val="12"/>
          <w:position w:val="26"/>
          <w:sz w:val="27"/>
          <w:szCs w:val="27"/>
          <w:lang w:val="en-US" w:eastAsia="zh-CN"/>
        </w:rPr>
        <w:t xml:space="preserve">4 </w:t>
      </w:r>
      <w:r>
        <w:rPr>
          <w:spacing w:val="-13"/>
          <w:position w:val="26"/>
          <w:sz w:val="27"/>
          <w:szCs w:val="27"/>
        </w:rPr>
        <w:t>日</w:t>
      </w:r>
    </w:p>
    <w:p>
      <w:pPr>
        <w:spacing w:line="223" w:lineRule="auto"/>
        <w:rPr>
          <w:sz w:val="24"/>
          <w:szCs w:val="24"/>
        </w:rPr>
        <w:sectPr>
          <w:footerReference r:id="rId9"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pPr>
        <w:adjustRightInd w:val="0"/>
        <w:snapToGrid w:val="0"/>
        <w:jc w:val="center"/>
        <w:rPr>
          <w:rFonts w:hint="eastAsia" w:ascii="华文中宋" w:hAnsi="华文中宋" w:eastAsia="华文中宋"/>
          <w:sz w:val="36"/>
        </w:rPr>
      </w:pPr>
    </w:p>
    <w:p>
      <w:pPr>
        <w:adjustRightInd w:val="0"/>
        <w:snapToGrid w:val="0"/>
        <w:spacing w:line="360" w:lineRule="auto"/>
        <w:jc w:val="center"/>
        <w:rPr>
          <w:rFonts w:hint="eastAsia" w:ascii="华文中宋" w:hAnsi="华文中宋" w:eastAsia="华文中宋"/>
          <w:sz w:val="36"/>
        </w:rPr>
      </w:pPr>
      <w:r>
        <w:rPr>
          <w:rFonts w:hint="eastAsia" w:ascii="华文中宋" w:hAnsi="华文中宋" w:eastAsia="华文中宋"/>
          <w:sz w:val="36"/>
        </w:rPr>
        <w:t>项目支出绩效评价报告</w:t>
      </w:r>
    </w:p>
    <w:p>
      <w:pPr>
        <w:adjustRightInd w:val="0"/>
        <w:snapToGrid w:val="0"/>
        <w:spacing w:line="360" w:lineRule="auto"/>
        <w:jc w:val="center"/>
        <w:rPr>
          <w:rFonts w:hint="eastAsia"/>
          <w:sz w:val="28"/>
        </w:rPr>
      </w:pPr>
      <w:r>
        <w:rPr>
          <w:rFonts w:hint="eastAsia"/>
          <w:sz w:val="28"/>
        </w:rPr>
        <w:t>（市委巡察经费）</w:t>
      </w:r>
    </w:p>
    <w:p>
      <w:pPr>
        <w:adjustRightInd w:val="0"/>
        <w:snapToGrid w:val="0"/>
        <w:jc w:val="center"/>
        <w:rPr>
          <w:rFonts w:hint="eastAsia"/>
          <w:sz w:val="28"/>
        </w:rPr>
      </w:pPr>
    </w:p>
    <w:p>
      <w:pPr>
        <w:adjustRightInd w:val="0"/>
        <w:snapToGrid w:val="0"/>
        <w:jc w:val="center"/>
        <w:rPr>
          <w:rFonts w:hint="eastAsia"/>
          <w:sz w:val="28"/>
        </w:rPr>
      </w:pP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一、项目支出基本情况</w:t>
      </w:r>
    </w:p>
    <w:p>
      <w:pPr>
        <w:adjustRightInd w:val="0"/>
        <w:snapToGrid w:val="0"/>
        <w:spacing w:line="360" w:lineRule="auto"/>
        <w:rPr>
          <w:rFonts w:ascii="Times New Roman" w:hAnsi="Times New Roman"/>
          <w:sz w:val="28"/>
          <w:szCs w:val="28"/>
        </w:rPr>
      </w:pPr>
      <w:r>
        <w:rPr>
          <w:rFonts w:ascii="Times New Roman" w:hAnsi="宋体"/>
          <w:sz w:val="28"/>
          <w:szCs w:val="28"/>
        </w:rPr>
        <w:t>（一）项目支出概况</w:t>
      </w:r>
    </w:p>
    <w:p>
      <w:pPr>
        <w:adjustRightInd w:val="0"/>
        <w:snapToGrid w:val="0"/>
        <w:spacing w:line="360" w:lineRule="auto"/>
        <w:ind w:firstLine="560" w:firstLineChars="200"/>
        <w:rPr>
          <w:rFonts w:ascii="Times New Roman" w:hAnsi="Times New Roman"/>
          <w:sz w:val="28"/>
          <w:szCs w:val="28"/>
        </w:rPr>
      </w:pPr>
      <w:r>
        <w:rPr>
          <w:rFonts w:hint="eastAsia" w:ascii="Times New Roman" w:hAnsi="宋体"/>
          <w:sz w:val="28"/>
          <w:szCs w:val="28"/>
        </w:rPr>
        <w:t>巡察工作是反腐倡廉、良化各级规章制度和领导干部工作作风的重要措施，其主要目的是发现问题、解决问题、督察督办、形成震慑，巡察工作是党内监督的重要方式。202</w:t>
      </w:r>
      <w:r>
        <w:rPr>
          <w:rFonts w:hint="eastAsia" w:ascii="Times New Roman" w:hAnsi="宋体" w:eastAsia="宋体"/>
          <w:sz w:val="28"/>
          <w:szCs w:val="28"/>
          <w:lang w:val="en-US" w:eastAsia="zh-CN"/>
        </w:rPr>
        <w:t>2</w:t>
      </w:r>
      <w:r>
        <w:rPr>
          <w:rFonts w:hint="eastAsia" w:ascii="Times New Roman" w:hAnsi="宋体"/>
          <w:sz w:val="28"/>
          <w:szCs w:val="28"/>
        </w:rPr>
        <w:t>年12月31日，巡察办、巡察组及下属事业单位共17个编制，实有人数17人。202</w:t>
      </w:r>
      <w:r>
        <w:rPr>
          <w:rFonts w:hint="eastAsia" w:ascii="Times New Roman" w:hAnsi="宋体" w:eastAsia="宋体"/>
          <w:sz w:val="28"/>
          <w:szCs w:val="28"/>
          <w:lang w:val="en-US" w:eastAsia="zh-CN"/>
        </w:rPr>
        <w:t>2</w:t>
      </w:r>
      <w:r>
        <w:rPr>
          <w:rFonts w:hint="eastAsia" w:ascii="Times New Roman" w:hAnsi="宋体"/>
          <w:sz w:val="28"/>
          <w:szCs w:val="28"/>
        </w:rPr>
        <w:t>年本项目年初预算38万元。</w:t>
      </w:r>
    </w:p>
    <w:p>
      <w:pPr>
        <w:adjustRightInd w:val="0"/>
        <w:snapToGrid w:val="0"/>
        <w:spacing w:line="360" w:lineRule="auto"/>
        <w:rPr>
          <w:rFonts w:ascii="Times New Roman" w:hAnsi="Times New Roman"/>
          <w:sz w:val="28"/>
          <w:szCs w:val="28"/>
        </w:rPr>
      </w:pPr>
      <w:r>
        <w:rPr>
          <w:rFonts w:ascii="Times New Roman" w:hAnsi="宋体"/>
          <w:sz w:val="28"/>
          <w:szCs w:val="28"/>
        </w:rPr>
        <w:t>（二）项目资金使用管理情况</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202</w:t>
      </w:r>
      <w:r>
        <w:rPr>
          <w:rFonts w:hint="eastAsia" w:ascii="Times New Roman" w:hAnsi="Times New Roman" w:eastAsia="宋体"/>
          <w:sz w:val="28"/>
          <w:szCs w:val="28"/>
          <w:lang w:val="en-US" w:eastAsia="zh-CN"/>
        </w:rPr>
        <w:t>2</w:t>
      </w:r>
      <w:r>
        <w:rPr>
          <w:rFonts w:hint="eastAsia" w:ascii="Times New Roman" w:hAnsi="Times New Roman"/>
          <w:sz w:val="28"/>
          <w:szCs w:val="28"/>
        </w:rPr>
        <w:t>年度市委巡察办共支出</w:t>
      </w:r>
      <w:r>
        <w:rPr>
          <w:rFonts w:hint="eastAsia" w:ascii="Times New Roman" w:hAnsi="Times New Roman" w:eastAsia="宋体"/>
          <w:sz w:val="28"/>
          <w:szCs w:val="28"/>
          <w:lang w:val="en-US" w:eastAsia="zh-CN"/>
        </w:rPr>
        <w:t>69.46</w:t>
      </w:r>
      <w:r>
        <w:rPr>
          <w:rFonts w:hint="eastAsia" w:ascii="Times New Roman" w:hAnsi="Times New Roman"/>
          <w:sz w:val="28"/>
          <w:szCs w:val="28"/>
        </w:rPr>
        <w:t>万元。主要用于：巡察业务培训、各巡察组开展巡察中的必要开支。在使用专项资金时，严格执行专项资金使用制度和财务制度，同时对各项专项资金的使用流程进行监督，定时查看财务表报检查专项资金使用情况。</w:t>
      </w:r>
    </w:p>
    <w:p>
      <w:pPr>
        <w:adjustRightInd w:val="0"/>
        <w:snapToGrid w:val="0"/>
        <w:spacing w:line="360" w:lineRule="auto"/>
        <w:rPr>
          <w:rFonts w:ascii="Times New Roman" w:hAnsi="Times New Roman"/>
          <w:sz w:val="28"/>
          <w:szCs w:val="28"/>
        </w:rPr>
      </w:pPr>
      <w:r>
        <w:rPr>
          <w:rFonts w:ascii="Times New Roman" w:hAnsi="宋体"/>
          <w:sz w:val="28"/>
          <w:szCs w:val="28"/>
        </w:rPr>
        <w:t>（三）项目支出绩效目标完成程度</w:t>
      </w:r>
    </w:p>
    <w:p>
      <w:pPr>
        <w:adjustRightInd w:val="0"/>
        <w:snapToGrid w:val="0"/>
        <w:spacing w:line="360" w:lineRule="auto"/>
        <w:ind w:firstLine="560" w:firstLineChars="200"/>
        <w:rPr>
          <w:rFonts w:ascii="Times New Roman" w:hAnsi="Times New Roman"/>
          <w:sz w:val="28"/>
          <w:szCs w:val="28"/>
        </w:rPr>
      </w:pPr>
      <w:r>
        <w:rPr>
          <w:rFonts w:ascii="Times New Roman" w:hAnsi="Times New Roman"/>
          <w:sz w:val="28"/>
          <w:szCs w:val="28"/>
        </w:rPr>
        <w:t>202</w:t>
      </w:r>
      <w:r>
        <w:rPr>
          <w:rFonts w:hint="eastAsia" w:ascii="Times New Roman" w:hAnsi="Times New Roman" w:eastAsia="宋体"/>
          <w:sz w:val="28"/>
          <w:szCs w:val="28"/>
          <w:lang w:val="en-US" w:eastAsia="zh-CN"/>
        </w:rPr>
        <w:t>2</w:t>
      </w:r>
      <w:r>
        <w:rPr>
          <w:rFonts w:ascii="Times New Roman" w:hAnsi="宋体"/>
          <w:sz w:val="28"/>
          <w:szCs w:val="28"/>
        </w:rPr>
        <w:t>年本项目安排责任人，按专项资金的用途专款专用，达到预期指标。产出指标、效益指标、满意度指标均达到预期指标。完成情况良好。</w:t>
      </w:r>
      <w:r>
        <w:rPr>
          <w:rFonts w:ascii="Times New Roman" w:hAnsi="Times New Roman"/>
          <w:sz w:val="28"/>
          <w:szCs w:val="28"/>
        </w:rPr>
        <w:t xml:space="preserve">  </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二、绩效评价工作情况</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202</w:t>
      </w:r>
      <w:r>
        <w:rPr>
          <w:rFonts w:hint="eastAsia" w:ascii="Times New Roman" w:hAnsi="Times New Roman" w:eastAsia="宋体"/>
          <w:sz w:val="28"/>
          <w:szCs w:val="28"/>
          <w:lang w:val="en-US" w:eastAsia="zh-CN"/>
        </w:rPr>
        <w:t>2</w:t>
      </w:r>
      <w:r>
        <w:rPr>
          <w:rFonts w:hint="eastAsia" w:ascii="Times New Roman" w:hAnsi="Times New Roman"/>
          <w:sz w:val="28"/>
          <w:szCs w:val="28"/>
        </w:rPr>
        <w:t>年，巡察办积极履职，确保上下联动，推动全市党的先进性和纯洁性建设认真履职，加强内部管理，着力发现问题，巡察工作取得实效，巡视巡察利剑作用进一步彰显。</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三、项目支出主要绩效及评价结论</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202</w:t>
      </w:r>
      <w:r>
        <w:rPr>
          <w:rFonts w:hint="eastAsia" w:ascii="Times New Roman" w:hAnsi="Times New Roman" w:eastAsia="宋体"/>
          <w:sz w:val="28"/>
          <w:szCs w:val="28"/>
          <w:lang w:val="en-US" w:eastAsia="zh-CN"/>
        </w:rPr>
        <w:t>2</w:t>
      </w:r>
      <w:r>
        <w:rPr>
          <w:rFonts w:hint="eastAsia" w:ascii="Times New Roman" w:hAnsi="Times New Roman"/>
          <w:sz w:val="28"/>
          <w:szCs w:val="28"/>
        </w:rPr>
        <w:t>年，市委巡察办坚守政治巡察定位开展了十一届市委第一至第三轮常规巡察，推动立行立改问题25个，移交问题线索30件，已处理处分7人。开展村（社区）巡察，移交问题线索8件，推动立行立改问题79个。完成全市违规举债虚假化债和优化营商环境共2轮专项巡察，发现问题35个，移交问题线索5件。建立市级领导高位推动、巡察机构统筹协调、被巡单位主动落实、纪检和组织部门跟踪监督、职能部门系统治理的“全链式”整改机制，不断推动巡察整改走深走实。巡察发现的298个问题，189个得到了整改，整改率达63%。</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四、绩效评价指标分析</w:t>
      </w:r>
    </w:p>
    <w:p>
      <w:pPr>
        <w:widowControl/>
        <w:adjustRightInd w:val="0"/>
        <w:snapToGrid w:val="0"/>
        <w:spacing w:line="360" w:lineRule="auto"/>
        <w:rPr>
          <w:rFonts w:ascii="Times New Roman" w:hAnsi="Times New Roman"/>
          <w:sz w:val="28"/>
          <w:szCs w:val="28"/>
        </w:rPr>
      </w:pPr>
      <w:r>
        <w:rPr>
          <w:rFonts w:ascii="Times New Roman" w:hAnsi="宋体"/>
          <w:sz w:val="28"/>
          <w:szCs w:val="28"/>
        </w:rPr>
        <w:t>（一）项目支出决策情况。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在项目资金的申报、批复及预算调整上，我们严格按程序办理，资金申报上，严格报送审批程序，保证并监管资金落实。</w:t>
      </w:r>
    </w:p>
    <w:p>
      <w:pPr>
        <w:widowControl/>
        <w:adjustRightInd w:val="0"/>
        <w:snapToGrid w:val="0"/>
        <w:spacing w:line="360" w:lineRule="auto"/>
        <w:rPr>
          <w:rFonts w:ascii="Times New Roman" w:hAnsi="Times New Roman"/>
          <w:sz w:val="28"/>
          <w:szCs w:val="28"/>
        </w:rPr>
      </w:pPr>
      <w:r>
        <w:rPr>
          <w:rFonts w:ascii="Times New Roman" w:hAnsi="宋体"/>
          <w:sz w:val="28"/>
          <w:szCs w:val="28"/>
        </w:rPr>
        <w:t>（二）项目执行过程情况。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严格督促项目实施和资金使用，切实发挥好财政资金使用效益，确保财政资金使用依法、规范、安全、高效。</w:t>
      </w:r>
    </w:p>
    <w:p>
      <w:pPr>
        <w:widowControl/>
        <w:adjustRightInd w:val="0"/>
        <w:snapToGrid w:val="0"/>
        <w:spacing w:line="360" w:lineRule="auto"/>
        <w:rPr>
          <w:rFonts w:ascii="Times New Roman" w:hAnsi="Times New Roman"/>
          <w:sz w:val="28"/>
          <w:szCs w:val="28"/>
        </w:rPr>
      </w:pPr>
      <w:r>
        <w:rPr>
          <w:rFonts w:ascii="Times New Roman" w:hAnsi="宋体"/>
          <w:sz w:val="28"/>
          <w:szCs w:val="28"/>
        </w:rPr>
        <w:t>（三）项目支出产出情况。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完成了目标任务。</w:t>
      </w:r>
      <w:r>
        <w:rPr>
          <w:rFonts w:hint="eastAsia" w:ascii="Times New Roman" w:hAnsi="Times New Roman"/>
          <w:sz w:val="28"/>
          <w:szCs w:val="28"/>
        </w:rPr>
        <w:t>落实全面从严治党要求，规范党政机关和事业单位行政行为，提升了执政党形象</w:t>
      </w:r>
      <w:r>
        <w:rPr>
          <w:rFonts w:ascii="Times New Roman" w:hAnsi="Times New Roman"/>
          <w:sz w:val="28"/>
          <w:szCs w:val="28"/>
        </w:rPr>
        <w:t>。</w:t>
      </w:r>
    </w:p>
    <w:p>
      <w:pPr>
        <w:widowControl/>
        <w:adjustRightInd w:val="0"/>
        <w:snapToGrid w:val="0"/>
        <w:spacing w:line="360" w:lineRule="auto"/>
        <w:rPr>
          <w:rFonts w:ascii="Times New Roman" w:hAnsi="Times New Roman"/>
          <w:sz w:val="28"/>
          <w:szCs w:val="28"/>
        </w:rPr>
      </w:pPr>
      <w:r>
        <w:rPr>
          <w:rFonts w:ascii="Times New Roman" w:hAnsi="宋体"/>
          <w:sz w:val="28"/>
          <w:szCs w:val="28"/>
        </w:rPr>
        <w:t>（四）项目支出效益情况。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专项资金落实到位，充分发挥了监督保障执行、促进完善发展作用，把全面从严治党不断引向深入，整治基层腐败，构筑良好的政治生态，群众满意度逐步提高。</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五、主要经验及做法、存在的问题及原因分析</w:t>
      </w:r>
    </w:p>
    <w:p>
      <w:pPr>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虽然财政资金使用规范，但也还存在可用财力偏小，不能满足日益增长的纪检工作需要，资金支出的绩效评价还有待加强等问题。</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六、有关建议</w:t>
      </w:r>
    </w:p>
    <w:p>
      <w:pPr>
        <w:adjustRightInd w:val="0"/>
        <w:snapToGrid w:val="0"/>
        <w:spacing w:line="360" w:lineRule="auto"/>
        <w:ind w:firstLine="560" w:firstLineChars="200"/>
        <w:rPr>
          <w:rFonts w:ascii="Times New Roman" w:hAnsi="Times New Roman" w:eastAsia="黑体"/>
          <w:sz w:val="28"/>
          <w:szCs w:val="28"/>
        </w:rPr>
      </w:pPr>
      <w:r>
        <w:rPr>
          <w:rFonts w:ascii="Times New Roman" w:hAnsi="宋体"/>
          <w:sz w:val="28"/>
          <w:szCs w:val="28"/>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pPr>
        <w:adjustRightInd w:val="0"/>
        <w:snapToGrid w:val="0"/>
        <w:spacing w:line="360" w:lineRule="auto"/>
        <w:rPr>
          <w:rFonts w:ascii="Times New Roman" w:hAnsi="Times New Roman"/>
          <w:sz w:val="28"/>
          <w:szCs w:val="28"/>
        </w:rPr>
      </w:pPr>
      <w:r>
        <w:rPr>
          <w:rFonts w:ascii="Times New Roman" w:hAnsi="黑体" w:eastAsia="黑体"/>
          <w:sz w:val="28"/>
          <w:szCs w:val="28"/>
        </w:rPr>
        <w:t>七、其他需要说明的情况</w:t>
      </w:r>
    </w:p>
    <w:p>
      <w:pPr>
        <w:adjustRightInd w:val="0"/>
        <w:snapToGrid w:val="0"/>
        <w:spacing w:line="360" w:lineRule="auto"/>
        <w:rPr>
          <w:rFonts w:ascii="Times New Roman" w:hAnsi="宋体"/>
          <w:sz w:val="28"/>
          <w:szCs w:val="28"/>
        </w:rPr>
      </w:pPr>
      <w:r>
        <w:rPr>
          <w:rFonts w:ascii="Times New Roman" w:hAnsi="宋体"/>
          <w:sz w:val="28"/>
          <w:szCs w:val="28"/>
        </w:rPr>
        <w:t>无。</w:t>
      </w:r>
    </w:p>
    <w:p>
      <w:pPr>
        <w:rPr>
          <w:rFonts w:ascii="Times New Roman" w:hAnsi="宋体"/>
          <w:sz w:val="28"/>
          <w:szCs w:val="28"/>
        </w:rPr>
      </w:pPr>
      <w:r>
        <w:rPr>
          <w:rFonts w:ascii="Times New Roman" w:hAnsi="宋体"/>
          <w:sz w:val="28"/>
          <w:szCs w:val="28"/>
        </w:rPr>
        <w:br w:type="page"/>
      </w:r>
    </w:p>
    <w:p>
      <w:pPr>
        <w:spacing w:line="267" w:lineRule="auto"/>
        <w:ind w:firstLine="552"/>
        <w:jc w:val="both"/>
        <w:rPr>
          <w:rFonts w:hint="eastAsia" w:ascii="宋体" w:hAnsi="宋体" w:eastAsia="宋体" w:cs="宋体"/>
          <w:bCs/>
          <w:spacing w:val="-4"/>
          <w:kern w:val="0"/>
          <w:sz w:val="28"/>
          <w:szCs w:val="28"/>
          <w:lang w:val="en-US"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5-3</w:t>
      </w: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eastAsia" w:ascii="宋体" w:hAnsi="宋体" w:eastAsia="宋体" w:cs="宋体"/>
          <w:bCs/>
          <w:spacing w:val="-4"/>
          <w:kern w:val="0"/>
          <w:sz w:val="28"/>
          <w:szCs w:val="28"/>
          <w:lang w:val="en-US" w:eastAsia="zh-CN"/>
        </w:rPr>
      </w:pPr>
    </w:p>
    <w:p>
      <w:pPr>
        <w:spacing w:line="267" w:lineRule="auto"/>
        <w:ind w:firstLine="552"/>
        <w:jc w:val="both"/>
        <w:rPr>
          <w:rFonts w:hint="default" w:ascii="宋体" w:hAnsi="宋体" w:eastAsia="宋体" w:cs="宋体"/>
          <w:bCs/>
          <w:spacing w:val="-4"/>
          <w:kern w:val="0"/>
          <w:sz w:val="28"/>
          <w:szCs w:val="28"/>
          <w:lang w:val="en-US" w:eastAsia="zh-CN"/>
        </w:rPr>
      </w:pPr>
    </w:p>
    <w:p>
      <w:pPr>
        <w:spacing w:before="201" w:line="578" w:lineRule="exact"/>
        <w:jc w:val="center"/>
        <w:rPr>
          <w:rFonts w:hint="eastAsia" w:ascii="黑体" w:hAnsi="黑体" w:eastAsia="黑体" w:cs="黑体"/>
          <w:sz w:val="42"/>
          <w:szCs w:val="42"/>
        </w:rPr>
      </w:pPr>
      <w:r>
        <w:rPr>
          <w:rFonts w:hint="eastAsia" w:ascii="黑体" w:hAnsi="黑体" w:eastAsia="黑体" w:cs="黑体"/>
          <w:spacing w:val="15"/>
          <w:position w:val="10"/>
          <w:sz w:val="42"/>
          <w:szCs w:val="42"/>
        </w:rPr>
        <w:t>202</w:t>
      </w:r>
      <w:r>
        <w:rPr>
          <w:rFonts w:hint="eastAsia" w:ascii="黑体" w:hAnsi="黑体" w:eastAsia="黑体" w:cs="黑体"/>
          <w:spacing w:val="15"/>
          <w:position w:val="10"/>
          <w:sz w:val="42"/>
          <w:szCs w:val="42"/>
          <w:lang w:val="en-US" w:eastAsia="zh-CN"/>
        </w:rPr>
        <w:t>2</w:t>
      </w:r>
      <w:r>
        <w:rPr>
          <w:rFonts w:hint="eastAsia" w:ascii="黑体" w:hAnsi="黑体" w:eastAsia="黑体" w:cs="黑体"/>
          <w:spacing w:val="15"/>
          <w:position w:val="10"/>
          <w:sz w:val="42"/>
          <w:szCs w:val="42"/>
        </w:rPr>
        <w:t>年度</w:t>
      </w:r>
      <w:r>
        <w:rPr>
          <w:rFonts w:hint="eastAsia" w:ascii="黑体" w:hAnsi="黑体" w:eastAsia="黑体" w:cs="黑体"/>
          <w:spacing w:val="15"/>
          <w:position w:val="10"/>
          <w:sz w:val="42"/>
          <w:szCs w:val="42"/>
          <w:lang w:eastAsia="zh-CN"/>
        </w:rPr>
        <w:t>汨罗市纪委专项</w:t>
      </w:r>
      <w:r>
        <w:rPr>
          <w:rFonts w:hint="eastAsia" w:ascii="黑体" w:hAnsi="黑体" w:eastAsia="黑体" w:cs="黑体"/>
          <w:spacing w:val="15"/>
          <w:position w:val="10"/>
          <w:sz w:val="42"/>
          <w:szCs w:val="42"/>
        </w:rPr>
        <w:t>项目支出</w:t>
      </w:r>
    </w:p>
    <w:p>
      <w:pPr>
        <w:spacing w:before="1" w:line="220" w:lineRule="auto"/>
        <w:ind w:left="3069"/>
        <w:rPr>
          <w:rFonts w:hint="eastAsia" w:ascii="黑体" w:hAnsi="黑体" w:eastAsia="黑体" w:cs="黑体"/>
          <w:sz w:val="42"/>
          <w:szCs w:val="42"/>
        </w:rPr>
      </w:pPr>
      <w:r>
        <w:rPr>
          <w:rFonts w:hint="eastAsia" w:ascii="黑体" w:hAnsi="黑体" w:eastAsia="黑体" w:cs="黑体"/>
          <w:spacing w:val="10"/>
          <w:sz w:val="42"/>
          <w:szCs w:val="42"/>
        </w:rPr>
        <w:t>绩效自评报告</w:t>
      </w:r>
    </w:p>
    <w:p>
      <w:pPr>
        <w:spacing w:line="246" w:lineRule="auto"/>
        <w:rPr>
          <w:rFonts w:hint="eastAsia" w:ascii="黑体" w:hAnsi="黑体" w:eastAsia="黑体" w:cs="黑体"/>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jc w:val="center"/>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eastAsia="zh-CN"/>
        </w:rPr>
        <w:t>中国共产党汨罗市纪律检查委员会</w:t>
      </w:r>
    </w:p>
    <w:p>
      <w:pPr>
        <w:pStyle w:val="2"/>
        <w:spacing w:before="289" w:line="610" w:lineRule="exact"/>
        <w:ind w:left="3490"/>
        <w:rPr>
          <w:sz w:val="27"/>
          <w:szCs w:val="27"/>
        </w:rPr>
      </w:pPr>
      <w:r>
        <w:rPr>
          <w:rFonts w:hint="eastAsia"/>
          <w:spacing w:val="-13"/>
          <w:position w:val="26"/>
          <w:sz w:val="27"/>
          <w:szCs w:val="27"/>
          <w:lang w:val="en-US" w:eastAsia="zh-CN"/>
        </w:rPr>
        <w:t xml:space="preserve">2023 </w:t>
      </w:r>
      <w:r>
        <w:rPr>
          <w:spacing w:val="-13"/>
          <w:position w:val="26"/>
          <w:sz w:val="27"/>
          <w:szCs w:val="27"/>
        </w:rPr>
        <w:t>年</w:t>
      </w:r>
      <w:r>
        <w:rPr>
          <w:rFonts w:hint="eastAsia"/>
          <w:spacing w:val="-13"/>
          <w:position w:val="26"/>
          <w:sz w:val="27"/>
          <w:szCs w:val="27"/>
          <w:lang w:val="en-US" w:eastAsia="zh-CN"/>
        </w:rPr>
        <w:t xml:space="preserve"> 1 </w:t>
      </w:r>
      <w:r>
        <w:rPr>
          <w:spacing w:val="-13"/>
          <w:position w:val="26"/>
          <w:sz w:val="27"/>
          <w:szCs w:val="27"/>
        </w:rPr>
        <w:t>月</w:t>
      </w:r>
      <w:r>
        <w:rPr>
          <w:rFonts w:hint="eastAsia"/>
          <w:spacing w:val="-13"/>
          <w:position w:val="26"/>
          <w:sz w:val="27"/>
          <w:szCs w:val="27"/>
          <w:lang w:val="en-US" w:eastAsia="zh-CN"/>
        </w:rPr>
        <w:t xml:space="preserve"> </w:t>
      </w:r>
      <w:r>
        <w:rPr>
          <w:rFonts w:hint="eastAsia"/>
          <w:spacing w:val="12"/>
          <w:position w:val="26"/>
          <w:sz w:val="27"/>
          <w:szCs w:val="27"/>
          <w:lang w:val="en-US" w:eastAsia="zh-CN"/>
        </w:rPr>
        <w:t xml:space="preserve">4 </w:t>
      </w:r>
      <w:r>
        <w:rPr>
          <w:spacing w:val="-13"/>
          <w:position w:val="26"/>
          <w:sz w:val="27"/>
          <w:szCs w:val="27"/>
        </w:rPr>
        <w:t>日</w:t>
      </w:r>
    </w:p>
    <w:p>
      <w:pPr>
        <w:spacing w:line="223" w:lineRule="auto"/>
        <w:rPr>
          <w:sz w:val="24"/>
          <w:szCs w:val="24"/>
        </w:rPr>
        <w:sectPr>
          <w:footerReference r:id="rId10" w:type="default"/>
          <w:pgSz w:w="11900" w:h="16820"/>
          <w:pgMar w:top="1429" w:right="1782" w:bottom="1158" w:left="1450" w:header="0" w:footer="850" w:gutter="0"/>
          <w:pgBorders>
            <w:top w:val="none" w:sz="0" w:space="0"/>
            <w:left w:val="none" w:sz="0" w:space="0"/>
            <w:bottom w:val="none" w:sz="0" w:space="0"/>
            <w:right w:val="none" w:sz="0" w:space="0"/>
          </w:pgBorders>
          <w:cols w:space="720" w:num="1"/>
        </w:sectPr>
      </w:pPr>
    </w:p>
    <w:p>
      <w:pPr>
        <w:adjustRightInd w:val="0"/>
        <w:snapToGrid w:val="0"/>
        <w:jc w:val="center"/>
        <w:rPr>
          <w:rFonts w:hint="eastAsia" w:ascii="华文中宋" w:hAnsi="华文中宋" w:eastAsia="华文中宋"/>
          <w:sz w:val="36"/>
        </w:rPr>
      </w:pPr>
    </w:p>
    <w:p>
      <w:pPr>
        <w:adjustRightInd w:val="0"/>
        <w:snapToGrid w:val="0"/>
        <w:spacing w:line="360" w:lineRule="auto"/>
        <w:jc w:val="center"/>
        <w:rPr>
          <w:rFonts w:hint="eastAsia" w:ascii="华文中宋" w:hAnsi="华文中宋" w:eastAsia="华文中宋"/>
          <w:sz w:val="36"/>
        </w:rPr>
      </w:pPr>
      <w:r>
        <w:rPr>
          <w:rFonts w:hint="eastAsia" w:ascii="华文中宋" w:hAnsi="华文中宋" w:eastAsia="华文中宋"/>
          <w:sz w:val="36"/>
        </w:rPr>
        <w:t>项目支出绩效评价报告</w:t>
      </w:r>
    </w:p>
    <w:p>
      <w:pPr>
        <w:adjustRightInd w:val="0"/>
        <w:snapToGrid w:val="0"/>
        <w:spacing w:line="360" w:lineRule="auto"/>
        <w:jc w:val="center"/>
        <w:rPr>
          <w:rFonts w:hint="eastAsia"/>
          <w:sz w:val="28"/>
        </w:rPr>
      </w:pPr>
      <w:r>
        <w:rPr>
          <w:rFonts w:hint="eastAsia"/>
          <w:sz w:val="28"/>
        </w:rPr>
        <w:t>（</w:t>
      </w:r>
      <w:r>
        <w:rPr>
          <w:rFonts w:hint="eastAsia" w:eastAsia="宋体"/>
          <w:sz w:val="28"/>
          <w:lang w:eastAsia="zh-CN"/>
        </w:rPr>
        <w:t>纪委专项</w:t>
      </w:r>
      <w:r>
        <w:rPr>
          <w:rFonts w:hint="eastAsia"/>
          <w:sz w:val="28"/>
        </w:rPr>
        <w:t>）</w:t>
      </w:r>
    </w:p>
    <w:p>
      <w:pPr>
        <w:adjustRightInd w:val="0"/>
        <w:snapToGrid w:val="0"/>
        <w:jc w:val="center"/>
        <w:rPr>
          <w:rFonts w:hint="eastAsia"/>
          <w:sz w:val="28"/>
        </w:rPr>
      </w:pPr>
    </w:p>
    <w:p>
      <w:pPr>
        <w:adjustRightInd w:val="0"/>
        <w:snapToGrid w:val="0"/>
        <w:jc w:val="center"/>
        <w:rPr>
          <w:rFonts w:hint="eastAsia"/>
          <w:sz w:val="28"/>
        </w:rPr>
      </w:pP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一、项目支出基本情况</w:t>
      </w:r>
    </w:p>
    <w:p>
      <w:pPr>
        <w:adjustRightInd w:val="0"/>
        <w:snapToGrid w:val="0"/>
        <w:spacing w:line="360" w:lineRule="auto"/>
        <w:rPr>
          <w:rFonts w:ascii="Times New Roman" w:hAnsi="Times New Roman"/>
          <w:sz w:val="28"/>
          <w:szCs w:val="28"/>
        </w:rPr>
      </w:pPr>
      <w:r>
        <w:rPr>
          <w:rFonts w:ascii="Times New Roman" w:hAnsi="宋体"/>
          <w:sz w:val="28"/>
          <w:szCs w:val="28"/>
        </w:rPr>
        <w:t>（一）项目支出概况</w:t>
      </w:r>
    </w:p>
    <w:p>
      <w:pPr>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为推进全面从严治党向基层延伸，推动持续深化</w:t>
      </w:r>
      <w:r>
        <w:rPr>
          <w:rFonts w:ascii="Times New Roman" w:hAnsi="Times New Roman"/>
          <w:sz w:val="28"/>
          <w:szCs w:val="28"/>
        </w:rPr>
        <w:t>“</w:t>
      </w:r>
      <w:r>
        <w:rPr>
          <w:rFonts w:ascii="Times New Roman" w:hAnsi="宋体"/>
          <w:sz w:val="28"/>
          <w:szCs w:val="28"/>
        </w:rPr>
        <w:t>三转</w:t>
      </w:r>
      <w:r>
        <w:rPr>
          <w:rFonts w:ascii="Times New Roman" w:hAnsi="Times New Roman"/>
          <w:sz w:val="28"/>
          <w:szCs w:val="28"/>
        </w:rPr>
        <w:t>”</w:t>
      </w:r>
      <w:r>
        <w:rPr>
          <w:rFonts w:ascii="Times New Roman" w:hAnsi="宋体"/>
          <w:sz w:val="28"/>
          <w:szCs w:val="28"/>
        </w:rPr>
        <w:t>，强化我市纪委对乡镇（街道）纪检监察工作力量的统一调度和使用，</w:t>
      </w:r>
      <w:r>
        <w:rPr>
          <w:rFonts w:hint="eastAsia" w:ascii="Times New Roman" w:hAnsi="宋体"/>
          <w:sz w:val="28"/>
          <w:szCs w:val="28"/>
        </w:rPr>
        <w:t>为做好办公办案场所基础设施、网络安全、保密技术维护等工作，持续深化安全维稳保障，参与并协助推动案件监督管理、监督检查、信访、宣传、组织等工作</w:t>
      </w:r>
      <w:r>
        <w:rPr>
          <w:rFonts w:hint="eastAsia" w:ascii="Times New Roman" w:hAnsi="宋体" w:eastAsia="宋体"/>
          <w:sz w:val="28"/>
          <w:szCs w:val="28"/>
          <w:lang w:eastAsia="zh-CN"/>
        </w:rPr>
        <w:t>，设立本项目</w:t>
      </w:r>
      <w:r>
        <w:rPr>
          <w:rFonts w:ascii="Times New Roman" w:hAnsi="宋体"/>
          <w:sz w:val="28"/>
          <w:szCs w:val="28"/>
        </w:rPr>
        <w:t>。</w:t>
      </w:r>
      <w:r>
        <w:rPr>
          <w:rFonts w:ascii="Times New Roman" w:hAnsi="Times New Roman"/>
          <w:sz w:val="28"/>
          <w:szCs w:val="28"/>
        </w:rPr>
        <w:t>202</w:t>
      </w:r>
      <w:r>
        <w:rPr>
          <w:rFonts w:hint="eastAsia" w:ascii="Times New Roman" w:hAnsi="Times New Roman" w:eastAsia="宋体"/>
          <w:sz w:val="28"/>
          <w:szCs w:val="28"/>
          <w:lang w:val="en-US" w:eastAsia="zh-CN"/>
        </w:rPr>
        <w:t>2</w:t>
      </w:r>
      <w:r>
        <w:rPr>
          <w:rFonts w:ascii="Times New Roman" w:hAnsi="宋体"/>
          <w:sz w:val="28"/>
          <w:szCs w:val="28"/>
        </w:rPr>
        <w:t>年</w:t>
      </w:r>
      <w:r>
        <w:rPr>
          <w:rFonts w:hint="eastAsia" w:ascii="Times New Roman" w:hAnsi="宋体"/>
          <w:sz w:val="28"/>
          <w:szCs w:val="28"/>
        </w:rPr>
        <w:t>本项目由4个小专项组合而成，</w:t>
      </w:r>
      <w:r>
        <w:rPr>
          <w:rFonts w:ascii="Times New Roman" w:hAnsi="宋体"/>
          <w:sz w:val="28"/>
          <w:szCs w:val="28"/>
        </w:rPr>
        <w:t>年初预算</w:t>
      </w:r>
      <w:r>
        <w:rPr>
          <w:rFonts w:hint="eastAsia" w:ascii="Times New Roman" w:hAnsi="Times New Roman" w:eastAsia="宋体"/>
          <w:sz w:val="28"/>
          <w:szCs w:val="28"/>
          <w:lang w:val="en-US" w:eastAsia="zh-CN"/>
        </w:rPr>
        <w:t>27</w:t>
      </w:r>
      <w:r>
        <w:rPr>
          <w:rFonts w:ascii="Times New Roman" w:hAnsi="宋体"/>
          <w:sz w:val="28"/>
          <w:szCs w:val="28"/>
        </w:rPr>
        <w:t>万元。</w:t>
      </w:r>
      <w:r>
        <w:rPr>
          <w:rFonts w:hint="eastAsia" w:ascii="Times New Roman" w:hAnsi="宋体"/>
          <w:sz w:val="28"/>
          <w:szCs w:val="28"/>
        </w:rPr>
        <w:t>包括廉政警示教育中心运行、乡镇纪检监察工作人员工作经费、“互联网+监督”及纪检信息网络维护、党员干部廉政教育。</w:t>
      </w:r>
    </w:p>
    <w:p>
      <w:pPr>
        <w:adjustRightInd w:val="0"/>
        <w:snapToGrid w:val="0"/>
        <w:spacing w:line="360" w:lineRule="auto"/>
        <w:rPr>
          <w:rFonts w:ascii="Times New Roman" w:hAnsi="Times New Roman"/>
          <w:sz w:val="28"/>
          <w:szCs w:val="28"/>
        </w:rPr>
      </w:pPr>
      <w:r>
        <w:rPr>
          <w:rFonts w:ascii="Times New Roman" w:hAnsi="宋体"/>
          <w:sz w:val="28"/>
          <w:szCs w:val="28"/>
        </w:rPr>
        <w:t>（二）项目资金使用管理情况</w:t>
      </w:r>
    </w:p>
    <w:p>
      <w:pPr>
        <w:adjustRightInd w:val="0"/>
        <w:snapToGrid w:val="0"/>
        <w:spacing w:line="360" w:lineRule="auto"/>
        <w:ind w:firstLine="560" w:firstLineChars="200"/>
        <w:rPr>
          <w:rFonts w:ascii="Times New Roman" w:hAnsi="Times New Roman"/>
          <w:sz w:val="28"/>
          <w:szCs w:val="28"/>
        </w:rPr>
      </w:pPr>
      <w:r>
        <w:rPr>
          <w:rFonts w:hint="eastAsia" w:ascii="Times New Roman" w:hAnsi="Times New Roman"/>
          <w:sz w:val="28"/>
          <w:szCs w:val="28"/>
        </w:rPr>
        <w:t>2022年度本项目共支出142.56万元。其中：廉政警示教育中心运行支出30万元、乡镇纪检监察工作人员工作经费支出13.66万元、“互联网+监督”及纪检信息网络维护支出76.68万元、党员干部廉政教育支出22.22万元。在使用专项资金时，严格执行专项资金使用制度和财务制度，同时对各项专项资金的使用流程进行监督，定时查看财务表报检查专项资金使用情况。</w:t>
      </w:r>
    </w:p>
    <w:p>
      <w:pPr>
        <w:adjustRightInd w:val="0"/>
        <w:snapToGrid w:val="0"/>
        <w:spacing w:line="360" w:lineRule="auto"/>
        <w:rPr>
          <w:rFonts w:ascii="Times New Roman" w:hAnsi="Times New Roman"/>
          <w:sz w:val="28"/>
          <w:szCs w:val="28"/>
        </w:rPr>
      </w:pPr>
      <w:r>
        <w:rPr>
          <w:rFonts w:ascii="Times New Roman" w:hAnsi="宋体"/>
          <w:sz w:val="28"/>
          <w:szCs w:val="28"/>
        </w:rPr>
        <w:t>（三）项目支出绩效目标完成程度</w:t>
      </w:r>
    </w:p>
    <w:p>
      <w:pPr>
        <w:adjustRightInd w:val="0"/>
        <w:snapToGrid w:val="0"/>
        <w:spacing w:line="360" w:lineRule="auto"/>
        <w:ind w:firstLine="560" w:firstLineChars="200"/>
        <w:rPr>
          <w:rFonts w:ascii="Times New Roman" w:hAnsi="Times New Roman"/>
          <w:sz w:val="28"/>
          <w:szCs w:val="28"/>
        </w:rPr>
      </w:pPr>
      <w:r>
        <w:rPr>
          <w:rFonts w:ascii="Times New Roman" w:hAnsi="Times New Roman"/>
          <w:sz w:val="28"/>
          <w:szCs w:val="28"/>
        </w:rPr>
        <w:t>202</w:t>
      </w:r>
      <w:r>
        <w:rPr>
          <w:rFonts w:hint="eastAsia" w:ascii="Times New Roman" w:hAnsi="Times New Roman" w:eastAsia="宋体"/>
          <w:sz w:val="28"/>
          <w:szCs w:val="28"/>
          <w:lang w:val="en-US" w:eastAsia="zh-CN"/>
        </w:rPr>
        <w:t>2</w:t>
      </w:r>
      <w:r>
        <w:rPr>
          <w:rFonts w:ascii="Times New Roman" w:hAnsi="宋体"/>
          <w:sz w:val="28"/>
          <w:szCs w:val="28"/>
        </w:rPr>
        <w:t>年本项目安排责任人，按专项资金的用途专款专用，达到预期指标。产出指标、效益指标、满意度指标均达到预期指标。完成情况良好。</w:t>
      </w:r>
      <w:r>
        <w:rPr>
          <w:rFonts w:ascii="Times New Roman" w:hAnsi="Times New Roman"/>
          <w:sz w:val="28"/>
          <w:szCs w:val="28"/>
        </w:rPr>
        <w:t xml:space="preserve">  </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Times New Roman" w:hAnsi="Times New Roman"/>
          <w:sz w:val="28"/>
          <w:szCs w:val="28"/>
        </w:rPr>
      </w:pPr>
      <w:r>
        <w:rPr>
          <w:rFonts w:hint="eastAsia" w:ascii="Times New Roman" w:hAnsi="Times New Roman" w:eastAsia="宋体"/>
          <w:sz w:val="28"/>
          <w:szCs w:val="28"/>
          <w:lang w:val="en-US" w:eastAsia="zh-CN"/>
        </w:rPr>
        <w:t>2022年</w:t>
      </w:r>
      <w:r>
        <w:rPr>
          <w:rFonts w:hint="eastAsia" w:ascii="Times New Roman" w:hAnsi="Times New Roman"/>
          <w:sz w:val="28"/>
          <w:szCs w:val="28"/>
        </w:rPr>
        <w:t>各项工作顺利开展，按时完成</w:t>
      </w:r>
      <w:r>
        <w:rPr>
          <w:rFonts w:hint="eastAsia" w:ascii="Times New Roman" w:hAnsi="Times New Roman" w:eastAsia="宋体"/>
          <w:sz w:val="28"/>
          <w:szCs w:val="28"/>
          <w:lang w:eastAsia="zh-CN"/>
        </w:rPr>
        <w:t>各个</w:t>
      </w:r>
      <w:r>
        <w:rPr>
          <w:rFonts w:hint="eastAsia" w:ascii="Times New Roman" w:hAnsi="Times New Roman"/>
          <w:sz w:val="28"/>
          <w:szCs w:val="28"/>
        </w:rPr>
        <w:t>项目</w:t>
      </w:r>
      <w:r>
        <w:rPr>
          <w:rFonts w:hint="eastAsia" w:ascii="Times New Roman" w:hAnsi="Times New Roman"/>
          <w:sz w:val="28"/>
          <w:szCs w:val="28"/>
        </w:rPr>
        <w:t>任务。一是廉政警示教育中心运行良好，高质量完成了对办案人员的住宿、餐饮、办公和生活保障；二是保证乡镇纪检工作经费，为15个乡镇纪检组织充分发挥</w:t>
      </w:r>
      <w:bookmarkStart w:id="0" w:name="_GoBack"/>
      <w:bookmarkEnd w:id="0"/>
      <w:r>
        <w:rPr>
          <w:rFonts w:hint="eastAsia" w:ascii="Times New Roman" w:hAnsi="Times New Roman"/>
          <w:sz w:val="28"/>
          <w:szCs w:val="28"/>
        </w:rPr>
        <w:t>职能作用提供了支持和保障；三是大力推进了“互联网+监督”平台建设，全面公开各类民生资金的拨付、发放和使用情况；四是多形式加强了党风廉政建设的宣传教育，推动了清廉汨罗建设走深走实。</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sz w:val="28"/>
          <w:szCs w:val="28"/>
        </w:rPr>
      </w:pPr>
      <w:r>
        <w:rPr>
          <w:rFonts w:ascii="Times New Roman" w:hAnsi="黑体" w:eastAsia="黑体"/>
          <w:sz w:val="28"/>
          <w:szCs w:val="28"/>
        </w:rPr>
        <w:t>三、项目支出主要绩效及评价结论</w:t>
      </w:r>
    </w:p>
    <w:p>
      <w:pPr>
        <w:widowControl/>
        <w:adjustRightInd w:val="0"/>
        <w:snapToGrid w:val="0"/>
        <w:spacing w:line="360" w:lineRule="auto"/>
        <w:ind w:firstLine="560" w:firstLineChars="200"/>
        <w:rPr>
          <w:rFonts w:hint="eastAsia" w:ascii="Times New Roman" w:hAnsi="宋体"/>
          <w:sz w:val="28"/>
          <w:szCs w:val="28"/>
        </w:rPr>
      </w:pPr>
      <w:r>
        <w:rPr>
          <w:rFonts w:hint="eastAsia" w:ascii="Times New Roman" w:hAnsi="宋体"/>
          <w:sz w:val="28"/>
          <w:szCs w:val="28"/>
        </w:rPr>
        <w:t>2022年，市纪委积极履职，强化绩效目标管理，按照绩效目标要求积极开展绩效目标自评工作，并运用评价结果运用到实际工作，加强绩效管理，厉行节约原则，较好的完成了年度工作目标。</w:t>
      </w:r>
    </w:p>
    <w:p>
      <w:pPr>
        <w:widowControl/>
        <w:adjustRightInd w:val="0"/>
        <w:snapToGrid w:val="0"/>
        <w:spacing w:line="360" w:lineRule="auto"/>
        <w:ind w:firstLine="560" w:firstLineChars="200"/>
        <w:rPr>
          <w:rFonts w:hint="eastAsia" w:ascii="Times New Roman" w:hAnsi="宋体"/>
          <w:sz w:val="28"/>
          <w:szCs w:val="28"/>
        </w:rPr>
      </w:pPr>
      <w:r>
        <w:rPr>
          <w:rFonts w:hint="eastAsia" w:ascii="Times New Roman" w:hAnsi="宋体"/>
          <w:sz w:val="28"/>
          <w:szCs w:val="28"/>
        </w:rPr>
        <w:t>1.经济效益：坚持“廉节提醒”和“逢节必查”，建立全面从严治党监督检查长效机制。</w:t>
      </w:r>
    </w:p>
    <w:p>
      <w:pPr>
        <w:widowControl/>
        <w:adjustRightInd w:val="0"/>
        <w:snapToGrid w:val="0"/>
        <w:spacing w:line="360" w:lineRule="auto"/>
        <w:ind w:firstLine="560" w:firstLineChars="200"/>
        <w:rPr>
          <w:rFonts w:hint="eastAsia" w:ascii="Times New Roman" w:hAnsi="宋体"/>
          <w:sz w:val="28"/>
          <w:szCs w:val="28"/>
        </w:rPr>
      </w:pPr>
      <w:r>
        <w:rPr>
          <w:rFonts w:hint="eastAsia" w:ascii="Times New Roman" w:hAnsi="宋体"/>
          <w:sz w:val="28"/>
          <w:szCs w:val="28"/>
        </w:rPr>
        <w:t>2.社会效益：党风廉政建设和反腐败工作取得新进步、新成效。共下达纪律检查建议和监察建议书12份，督促12家单位排查梳理风险点47个，督促完善各类制度26项。</w:t>
      </w:r>
    </w:p>
    <w:p>
      <w:pPr>
        <w:widowControl/>
        <w:adjustRightInd w:val="0"/>
        <w:snapToGrid w:val="0"/>
        <w:spacing w:line="360" w:lineRule="auto"/>
        <w:ind w:firstLine="560" w:firstLineChars="200"/>
        <w:rPr>
          <w:rFonts w:hint="eastAsia" w:ascii="Times New Roman" w:hAnsi="宋体"/>
          <w:sz w:val="28"/>
          <w:szCs w:val="28"/>
        </w:rPr>
      </w:pPr>
      <w:r>
        <w:rPr>
          <w:rFonts w:hint="eastAsia" w:ascii="Times New Roman" w:hAnsi="宋体"/>
          <w:sz w:val="28"/>
          <w:szCs w:val="28"/>
        </w:rPr>
        <w:t>3.生态效益：大力宣传平安创建，人人参与；抓实廉洁文化“十进”活动，开展“清廉汨罗”知识竞赛、清廉作品征集、微廉课征集等活动，开展清廉汨罗建设系列报道，让以清为美、以廉为荣的价值观深入人心。</w:t>
      </w:r>
    </w:p>
    <w:p>
      <w:pPr>
        <w:widowControl/>
        <w:adjustRightInd w:val="0"/>
        <w:snapToGrid w:val="0"/>
        <w:spacing w:line="360" w:lineRule="auto"/>
        <w:ind w:firstLine="560" w:firstLineChars="200"/>
        <w:rPr>
          <w:rFonts w:hint="eastAsia" w:ascii="Times New Roman" w:hAnsi="宋体"/>
          <w:sz w:val="28"/>
          <w:szCs w:val="28"/>
        </w:rPr>
      </w:pPr>
      <w:r>
        <w:rPr>
          <w:rFonts w:hint="eastAsia" w:ascii="Times New Roman" w:hAnsi="宋体"/>
          <w:sz w:val="28"/>
          <w:szCs w:val="28"/>
        </w:rPr>
        <w:t>4.可持续影响：加强全员培训，组织开展“汨罗市纪检监察干部大课堂”10期，参学人员2200余人次，组织多轮纪检法律知识测试，干部业务水平不断提升。</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Times New Roman" w:hAnsi="Times New Roman" w:eastAsia="黑体"/>
          <w:sz w:val="28"/>
          <w:szCs w:val="28"/>
        </w:rPr>
      </w:pPr>
      <w:r>
        <w:rPr>
          <w:rFonts w:ascii="Times New Roman" w:hAnsi="黑体" w:eastAsia="黑体"/>
          <w:sz w:val="28"/>
          <w:szCs w:val="28"/>
        </w:rPr>
        <w:t>四、绩效评价指标分析</w:t>
      </w:r>
    </w:p>
    <w:p>
      <w:pPr>
        <w:widowControl/>
        <w:adjustRightInd w:val="0"/>
        <w:snapToGrid w:val="0"/>
        <w:spacing w:line="360" w:lineRule="auto"/>
        <w:rPr>
          <w:rFonts w:ascii="Times New Roman" w:hAnsi="Times New Roman"/>
          <w:sz w:val="28"/>
          <w:szCs w:val="28"/>
        </w:rPr>
      </w:pPr>
      <w:r>
        <w:rPr>
          <w:rFonts w:ascii="Times New Roman" w:hAnsi="宋体"/>
          <w:sz w:val="28"/>
          <w:szCs w:val="28"/>
        </w:rPr>
        <w:t>（一）项目支出决策情况。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在项目资金的申报、批复及预算调整上，我们严格按程序办理，资金申报上，严格报送审批程序，保证并监管资金落实。</w:t>
      </w:r>
    </w:p>
    <w:p>
      <w:pPr>
        <w:widowControl/>
        <w:adjustRightInd w:val="0"/>
        <w:snapToGrid w:val="0"/>
        <w:spacing w:line="360" w:lineRule="auto"/>
        <w:rPr>
          <w:rFonts w:ascii="Times New Roman" w:hAnsi="Times New Roman"/>
          <w:sz w:val="28"/>
          <w:szCs w:val="28"/>
        </w:rPr>
      </w:pPr>
      <w:r>
        <w:rPr>
          <w:rFonts w:ascii="Times New Roman" w:hAnsi="宋体"/>
          <w:sz w:val="28"/>
          <w:szCs w:val="28"/>
        </w:rPr>
        <w:t>（二）项目执行过程情况。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严格督促项目实施和资金使用，切实发挥好财政资金使用效益，确保财政资金使用依法、规范、安全、高效。</w:t>
      </w:r>
    </w:p>
    <w:p>
      <w:pPr>
        <w:widowControl/>
        <w:adjustRightInd w:val="0"/>
        <w:snapToGrid w:val="0"/>
        <w:spacing w:line="360" w:lineRule="auto"/>
        <w:rPr>
          <w:rFonts w:ascii="Times New Roman" w:hAnsi="Times New Roman"/>
          <w:sz w:val="28"/>
          <w:szCs w:val="28"/>
        </w:rPr>
      </w:pPr>
      <w:r>
        <w:rPr>
          <w:rFonts w:ascii="Times New Roman" w:hAnsi="宋体"/>
          <w:sz w:val="28"/>
          <w:szCs w:val="28"/>
        </w:rPr>
        <w:t>（三）项目支出产出情况。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完成了目标任务。保障了乡镇纪检监察干部纪检津贴和乡镇纪检工作专项经费。</w:t>
      </w:r>
    </w:p>
    <w:p>
      <w:pPr>
        <w:widowControl/>
        <w:adjustRightInd w:val="0"/>
        <w:snapToGrid w:val="0"/>
        <w:spacing w:line="360" w:lineRule="auto"/>
        <w:rPr>
          <w:rFonts w:ascii="Times New Roman" w:hAnsi="Times New Roman"/>
          <w:sz w:val="28"/>
          <w:szCs w:val="28"/>
        </w:rPr>
      </w:pPr>
      <w:r>
        <w:rPr>
          <w:rFonts w:ascii="Times New Roman" w:hAnsi="宋体"/>
          <w:sz w:val="28"/>
          <w:szCs w:val="28"/>
        </w:rPr>
        <w:t>（四）项目支出效益情况。</w:t>
      </w:r>
    </w:p>
    <w:p>
      <w:pPr>
        <w:widowControl/>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专项资金落实到位，充分发挥了监督保障执行、促进完善发展作用，把全面从严治党不断引向深入，整治基层腐败，构筑良好的政治生态，群众满意度逐步提高。</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五、主要经验及做法、存在的问题及原因分析</w:t>
      </w:r>
    </w:p>
    <w:p>
      <w:pPr>
        <w:adjustRightInd w:val="0"/>
        <w:snapToGrid w:val="0"/>
        <w:spacing w:line="360" w:lineRule="auto"/>
        <w:ind w:firstLine="560" w:firstLineChars="200"/>
        <w:rPr>
          <w:rFonts w:ascii="Times New Roman" w:hAnsi="Times New Roman"/>
          <w:sz w:val="28"/>
          <w:szCs w:val="28"/>
        </w:rPr>
      </w:pPr>
      <w:r>
        <w:rPr>
          <w:rFonts w:ascii="Times New Roman" w:hAnsi="宋体"/>
          <w:sz w:val="28"/>
          <w:szCs w:val="28"/>
        </w:rPr>
        <w:t>虽然财政资金使用规范，但也还存在可用财力偏小，不能满足日益增长的纪检工作需要，资金支出的绩效评价还有待加强等问题。</w:t>
      </w:r>
    </w:p>
    <w:p>
      <w:pPr>
        <w:adjustRightInd w:val="0"/>
        <w:snapToGrid w:val="0"/>
        <w:spacing w:line="360" w:lineRule="auto"/>
        <w:rPr>
          <w:rFonts w:ascii="Times New Roman" w:hAnsi="Times New Roman" w:eastAsia="黑体"/>
          <w:sz w:val="28"/>
          <w:szCs w:val="28"/>
        </w:rPr>
      </w:pPr>
      <w:r>
        <w:rPr>
          <w:rFonts w:ascii="Times New Roman" w:hAnsi="黑体" w:eastAsia="黑体"/>
          <w:sz w:val="28"/>
          <w:szCs w:val="28"/>
        </w:rPr>
        <w:t>六、有关建议</w:t>
      </w:r>
    </w:p>
    <w:p>
      <w:pPr>
        <w:adjustRightInd w:val="0"/>
        <w:snapToGrid w:val="0"/>
        <w:spacing w:line="360" w:lineRule="auto"/>
        <w:ind w:firstLine="560" w:firstLineChars="200"/>
        <w:rPr>
          <w:rFonts w:ascii="Times New Roman" w:hAnsi="Times New Roman" w:eastAsia="黑体"/>
          <w:sz w:val="28"/>
          <w:szCs w:val="28"/>
        </w:rPr>
      </w:pPr>
      <w:r>
        <w:rPr>
          <w:rFonts w:ascii="Times New Roman" w:hAnsi="宋体"/>
          <w:sz w:val="28"/>
          <w:szCs w:val="28"/>
        </w:rPr>
        <w:t>今后，我单位将完善预算绩效管理相关制度，加强项目管理，不断提高预算项目绩效目标设置的科学性，并加大绩效运行监控的力度，及时调整绩效目标设定的偏差，客观公正对绩效结果进行评价，对绩效结果出现的问题及时整改，切实提高项目预算资金的管理水平和能力。同时多措并举，增强对专项工作的经费支持。</w:t>
      </w:r>
    </w:p>
    <w:p>
      <w:pPr>
        <w:adjustRightInd w:val="0"/>
        <w:snapToGrid w:val="0"/>
        <w:spacing w:line="360" w:lineRule="auto"/>
        <w:rPr>
          <w:rFonts w:ascii="Times New Roman" w:hAnsi="Times New Roman"/>
          <w:sz w:val="28"/>
          <w:szCs w:val="28"/>
        </w:rPr>
      </w:pPr>
      <w:r>
        <w:rPr>
          <w:rFonts w:ascii="Times New Roman" w:hAnsi="黑体" w:eastAsia="黑体"/>
          <w:sz w:val="28"/>
          <w:szCs w:val="28"/>
        </w:rPr>
        <w:t>七、其他需要说明的情况</w:t>
      </w:r>
    </w:p>
    <w:p>
      <w:pPr>
        <w:adjustRightInd w:val="0"/>
        <w:snapToGrid w:val="0"/>
        <w:spacing w:line="360" w:lineRule="auto"/>
        <w:rPr>
          <w:rFonts w:ascii="Times New Roman" w:hAnsi="Times New Roman"/>
          <w:sz w:val="28"/>
          <w:szCs w:val="28"/>
        </w:rPr>
      </w:pPr>
      <w:r>
        <w:rPr>
          <w:rFonts w:ascii="Times New Roman" w:hAnsi="宋体"/>
          <w:sz w:val="28"/>
          <w:szCs w:val="28"/>
        </w:rPr>
        <w:t>无。</w:t>
      </w:r>
    </w:p>
    <w:p>
      <w:pPr>
        <w:adjustRightInd w:val="0"/>
        <w:snapToGrid w:val="0"/>
        <w:spacing w:line="360" w:lineRule="auto"/>
        <w:rPr>
          <w:rFonts w:hint="eastAsia" w:ascii="Times New Roman" w:hAnsi="宋体"/>
          <w:sz w:val="28"/>
          <w:szCs w:val="28"/>
          <w:lang w:eastAsia="zh-CN"/>
        </w:rPr>
      </w:pPr>
    </w:p>
    <w:sectPr>
      <w:footerReference r:id="rId11" w:type="default"/>
      <w:pgSz w:w="11900" w:h="16820"/>
      <w:pgMar w:top="1755" w:right="1227" w:bottom="1485" w:left="1011" w:header="0" w:footer="919"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MS Gothic">
    <w:panose1 w:val="020B0609070205080204"/>
    <w:charset w:val="80"/>
    <w:family w:val="auto"/>
    <w:pitch w:val="default"/>
    <w:sig w:usb0="E00002FF" w:usb1="6AC7FDFB" w:usb2="00000012" w:usb3="00000000" w:csb0="4002009F" w:csb1="DFD70000"/>
  </w:font>
  <w:font w:name="仿宋_GB2312">
    <w:altName w:val="仿宋"/>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lkOWYzN2YwMzQ1MDFhODQ4MjdmZjE5MzhkYTNjZTgifQ=="/>
  </w:docVars>
  <w:rsids>
    <w:rsidRoot w:val="00000000"/>
    <w:rsid w:val="01AF3811"/>
    <w:rsid w:val="03795BF7"/>
    <w:rsid w:val="0789736C"/>
    <w:rsid w:val="086E756B"/>
    <w:rsid w:val="0ACF37E5"/>
    <w:rsid w:val="0B400BC6"/>
    <w:rsid w:val="0E016F15"/>
    <w:rsid w:val="0E68228D"/>
    <w:rsid w:val="0EB9334C"/>
    <w:rsid w:val="15276E52"/>
    <w:rsid w:val="19D32FBC"/>
    <w:rsid w:val="1E6A4395"/>
    <w:rsid w:val="2426102C"/>
    <w:rsid w:val="25557A3D"/>
    <w:rsid w:val="26EA5ED7"/>
    <w:rsid w:val="27A93B82"/>
    <w:rsid w:val="2AE00186"/>
    <w:rsid w:val="308216BE"/>
    <w:rsid w:val="310A7113"/>
    <w:rsid w:val="318023C0"/>
    <w:rsid w:val="33572FB0"/>
    <w:rsid w:val="34FE1149"/>
    <w:rsid w:val="3A550786"/>
    <w:rsid w:val="3B7A130F"/>
    <w:rsid w:val="423063D0"/>
    <w:rsid w:val="46B972B8"/>
    <w:rsid w:val="4A111CB3"/>
    <w:rsid w:val="4AB64608"/>
    <w:rsid w:val="4AC41647"/>
    <w:rsid w:val="4F8B6063"/>
    <w:rsid w:val="50D56C91"/>
    <w:rsid w:val="52466271"/>
    <w:rsid w:val="52FA3F96"/>
    <w:rsid w:val="55850F17"/>
    <w:rsid w:val="57AE6D93"/>
    <w:rsid w:val="5AFC5403"/>
    <w:rsid w:val="5FB623A7"/>
    <w:rsid w:val="68FC7232"/>
    <w:rsid w:val="698C6808"/>
    <w:rsid w:val="6E3851B0"/>
    <w:rsid w:val="738069EA"/>
    <w:rsid w:val="76312356"/>
    <w:rsid w:val="7D6624D5"/>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Words>1906</Words>
  <Characters>2016</Characters>
  <TotalTime>2</TotalTime>
  <ScaleCrop>false</ScaleCrop>
  <LinksUpToDate>false</LinksUpToDate>
  <CharactersWithSpaces>2181</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WPS_1662625350</cp:lastModifiedBy>
  <cp:lastPrinted>2024-05-21T14:05:00Z</cp:lastPrinted>
  <dcterms:modified xsi:type="dcterms:W3CDTF">2024-06-26T02:35:15Z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