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附件1</w:t>
      </w:r>
    </w:p>
    <w:p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年度部门整体支出绩效评价基础</w:t>
      </w:r>
    </w:p>
    <w:p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数据表</w:t>
      </w:r>
    </w:p>
    <w:p>
      <w:pPr>
        <w:spacing w:line="177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1"/>
        <w:gridCol w:w="1158"/>
        <w:gridCol w:w="958"/>
        <w:gridCol w:w="960"/>
        <w:gridCol w:w="1079"/>
        <w:gridCol w:w="1039"/>
        <w:gridCol w:w="9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财政供养人员情况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人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编制数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年实际在职人数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630" w:firstLineChars="30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控制率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21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20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经费控制情况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年预算数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“</w:t>
            </w:r>
            <w:r>
              <w:rPr>
                <w:rFonts w:hint="eastAsia" w:ascii="仿宋_GB2312" w:hAnsi="宋体" w:eastAsia="仿宋_GB2312" w:cs="宋体"/>
                <w:kern w:val="0"/>
              </w:rPr>
              <w:t>三公</w:t>
            </w: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”</w:t>
            </w:r>
            <w:r>
              <w:rPr>
                <w:rFonts w:hint="eastAsia" w:ascii="仿宋_GB2312" w:hAnsi="宋体" w:eastAsia="仿宋_GB2312" w:cs="宋体"/>
                <w:kern w:val="0"/>
              </w:rPr>
              <w:t>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1.04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、公务用车购置和维护经费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840" w:firstLineChars="4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其中：公车购置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</w:rPr>
              <w:t>公车运行维护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、出国经费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、公务接待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1.04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、业务工作经费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、运行维护经费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、县级专项资金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111.02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91.33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 xml:space="preserve">   干部教育培训经费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36.02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43.33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 xml:space="preserve">   疫情防控经费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70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公用经费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20.35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9.4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23.47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其中：办公经费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8.46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2.4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5.67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</w:rPr>
              <w:t>水费、电费、差旅费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11.61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17.6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1050" w:firstLineChars="5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会议费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0.28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政府采购金额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1050" w:firstLineChars="50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8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15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部门基本支出预算调整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楼堂馆所控制情况</w:t>
            </w: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年完工项目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115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批复规模</w:t>
            </w:r>
            <w:r>
              <w:rPr>
                <w:rFonts w:hint="eastAsia" w:ascii="仿宋_GB2312" w:eastAsia="仿宋_GB2312"/>
                <w:kern w:val="0"/>
              </w:rPr>
              <w:t xml:space="preserve"> 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5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实际规模</w:t>
            </w:r>
            <w:r>
              <w:rPr>
                <w:rFonts w:hint="eastAsia" w:ascii="仿宋_GB2312" w:eastAsia="仿宋_GB2312"/>
                <w:kern w:val="0"/>
              </w:rPr>
              <w:t>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规模控制率</w:t>
            </w:r>
          </w:p>
        </w:tc>
        <w:tc>
          <w:tcPr>
            <w:tcW w:w="10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预算投资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3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实际投资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4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投</w:t>
            </w:r>
            <w:r>
              <w:rPr>
                <w:rFonts w:hint="eastAsia" w:ascii="仿宋_GB2312" w:hAnsi="宋体" w:eastAsia="仿宋_GB2312" w:cs="宋体"/>
                <w:kern w:val="0"/>
              </w:rPr>
              <w:t>资概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算控</w:t>
            </w:r>
            <w:r>
              <w:rPr>
                <w:rFonts w:hint="eastAsia" w:ascii="仿宋_GB2312" w:hAnsi="宋体" w:eastAsia="仿宋_GB2312" w:cs="宋体"/>
                <w:kern w:val="0"/>
              </w:rPr>
              <w:t>制率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58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58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79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39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44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271" w:type="dxa"/>
            <w:vAlign w:val="center"/>
          </w:tcPr>
          <w:p>
            <w:pPr>
              <w:spacing w:before="128" w:line="201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厉行节约保障措施</w:t>
            </w:r>
          </w:p>
        </w:tc>
        <w:tc>
          <w:tcPr>
            <w:tcW w:w="6138" w:type="dxa"/>
            <w:gridSpan w:val="6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1"/>
                <w:szCs w:val="21"/>
                <w:lang w:val="en-US" w:eastAsia="zh-CN" w:bidi="ar-SA"/>
              </w:rPr>
              <w:t>强化绩效管理，确保预算安排与绩效结果挂钩，提高资金使用效益</w:t>
            </w:r>
            <w:r>
              <w:rPr>
                <w:rFonts w:hint="eastAsia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t>。</w:t>
            </w:r>
          </w:p>
        </w:tc>
      </w:tr>
    </w:tbl>
    <w:p>
      <w:pPr>
        <w:spacing w:line="240" w:lineRule="auto"/>
        <w:jc w:val="left"/>
        <w:rPr>
          <w:rFonts w:ascii="仿宋_GB2312" w:eastAsia="仿宋_GB2312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说明：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项目支出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需要填报基本支出以外的所有项目支出情况，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公用经费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填报基本支出中的一般商品和服务支出。</w:t>
      </w:r>
    </w:p>
    <w:p>
      <w:pPr>
        <w:kinsoku w:val="0"/>
        <w:autoSpaceDE w:val="0"/>
        <w:autoSpaceDN w:val="0"/>
        <w:adjustRightInd w:val="0"/>
        <w:snapToGrid w:val="0"/>
        <w:spacing w:before="65" w:line="228" w:lineRule="auto"/>
        <w:ind w:firstLine="102" w:firstLineChars="49"/>
        <w:textAlignment w:val="baseline"/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填表人：           填报日期：        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联系电话：            单位负责人签字：</w:t>
      </w:r>
    </w:p>
    <w:p>
      <w:pPr>
        <w:spacing w:line="228" w:lineRule="auto"/>
        <w:ind w:firstLine="400"/>
        <w:rPr>
          <w:rFonts w:eastAsiaTheme="minorEastAsia"/>
          <w:sz w:val="20"/>
          <w:szCs w:val="20"/>
          <w:lang w:eastAsia="zh-CN"/>
        </w:rPr>
        <w:sectPr>
          <w:footerReference r:id="rId5" w:type="default"/>
          <w:footerReference r:id="rId6" w:type="even"/>
          <w:pgSz w:w="11907" w:h="16839"/>
          <w:pgMar w:top="2098" w:right="1474" w:bottom="1985" w:left="1474" w:header="0" w:footer="1588" w:gutter="0"/>
          <w:pgNumType w:fmt="numberInDash"/>
          <w:cols w:space="720" w:num="1"/>
          <w:titlePg/>
          <w:docGrid w:linePitch="286" w:charSpace="0"/>
        </w:sectPr>
      </w:pPr>
    </w:p>
    <w:p>
      <w:pPr>
        <w:spacing w:before="117" w:line="219" w:lineRule="auto"/>
        <w:ind w:firstLine="616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附件2</w:t>
      </w:r>
    </w:p>
    <w:p>
      <w:pPr>
        <w:spacing w:before="117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2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年度部门整体支出绩效自评表</w:t>
      </w:r>
    </w:p>
    <w:p>
      <w:pPr>
        <w:spacing w:line="237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979" w:type="dxa"/>
        <w:tblInd w:w="-7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69"/>
        <w:gridCol w:w="1029"/>
        <w:gridCol w:w="1249"/>
        <w:gridCol w:w="1298"/>
        <w:gridCol w:w="1269"/>
        <w:gridCol w:w="699"/>
        <w:gridCol w:w="869"/>
        <w:gridCol w:w="14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7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预算部门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名称</w:t>
            </w:r>
          </w:p>
        </w:tc>
        <w:tc>
          <w:tcPr>
            <w:tcW w:w="8905" w:type="dxa"/>
            <w:gridSpan w:val="8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中共汨罗市委党校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年度预算申请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年初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执行数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执行率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年度资金总额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235.61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365.93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365.93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按收入性质分：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235.61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按支出性质分：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其中：一般公共预算：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225.61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其中：基本支出：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274.6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政府性基金拨款：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91.33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纳入专户管理的非税收入拨款：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其他资金：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</w:rPr>
              <w:t>目标</w:t>
            </w: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1.部门支出合理规范</w:t>
            </w:r>
          </w:p>
          <w:p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2.干部教育培训按期优质完成</w:t>
            </w: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部门支出合理，三公经费严格控制。干部教育培训按计划优质完成。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74" w:type="dxa"/>
            <w:vMerge w:val="restart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02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</w:t>
            </w:r>
          </w:p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分析及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干部培训人次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3300人次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3302人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省、市级课题立项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2-4个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2个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培训合格率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＞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98%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＞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98%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参训干部的出勤率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＞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98%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＞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98%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培训班次按计划进行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全年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本年度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Arial" w:eastAsia="仿宋_GB2312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  <w:r>
              <w:rPr>
                <w:rFonts w:hint="eastAsia" w:ascii="仿宋_GB2312" w:eastAsia="仿宋_GB2312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提高参训干部综合素质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7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7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提高干部理论水平和执政能力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7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7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不断提高干部理论水平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不断提高干部理论水平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7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7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不提高干部党员综合素质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不提高干部党员综合素质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7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7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参训党员对培训满意度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029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人均培训费用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160元/人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160元/人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18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18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988" w:type="dxa"/>
            <w:gridSpan w:val="6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总分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86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</w:tbl>
    <w:p>
      <w:pPr>
        <w:kinsoku w:val="0"/>
        <w:autoSpaceDE w:val="0"/>
        <w:autoSpaceDN w:val="0"/>
        <w:adjustRightInd w:val="0"/>
        <w:snapToGrid w:val="0"/>
        <w:spacing w:before="293" w:line="236" w:lineRule="auto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填表人：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何林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 填报日期：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2024.05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   联系电话：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5243800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单位负责人签字：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蒋海龙</w:t>
      </w: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  <w:t>附件3</w:t>
      </w:r>
    </w:p>
    <w:p>
      <w:pPr>
        <w:spacing w:before="91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2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年度项目支出绩效自评表</w:t>
      </w:r>
    </w:p>
    <w:p>
      <w:pPr>
        <w:spacing w:line="95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5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1059"/>
        <w:gridCol w:w="1218"/>
        <w:gridCol w:w="1020"/>
        <w:gridCol w:w="1099"/>
        <w:gridCol w:w="1099"/>
        <w:gridCol w:w="809"/>
        <w:gridCol w:w="849"/>
        <w:gridCol w:w="13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05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项目支出名称</w:t>
            </w:r>
          </w:p>
        </w:tc>
        <w:tc>
          <w:tcPr>
            <w:tcW w:w="8536" w:type="dxa"/>
            <w:gridSpan w:val="8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校园基本建设及维修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主管部门</w:t>
            </w:r>
          </w:p>
        </w:tc>
        <w:tc>
          <w:tcPr>
            <w:tcW w:w="4396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汨罗市财政局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实施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单位</w:t>
            </w:r>
          </w:p>
        </w:tc>
        <w:tc>
          <w:tcPr>
            <w:tcW w:w="304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中共汨罗市委党校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项目资金 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万元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)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年初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执行数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分值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执行率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年度资金总额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100%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其中：当年财政拨款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上年结转资金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年度总体目标</w:t>
            </w:r>
          </w:p>
        </w:tc>
        <w:tc>
          <w:tcPr>
            <w:tcW w:w="4396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396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改善党校基本条件，提高教学质量，提升校园环境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54" w:type="dxa"/>
            <w:vMerge w:val="restart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</w:tc>
        <w:tc>
          <w:tcPr>
            <w:tcW w:w="105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21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</w:t>
            </w:r>
            <w:r>
              <w:rPr>
                <w:rFonts w:ascii="仿宋_GB2312" w:hAnsi="宋体" w:eastAsia="仿宋_GB2312" w:cs="宋体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按年初计划维修项目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基础设施及水电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100%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维修项目合格率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100%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已完成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经费支出及时性、维修项目合格性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及时、有效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100%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严格控制经费支出，提高经费使用率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控制成本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100%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15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15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提高校园基础设施使用率，提升校园环境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100%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15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15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  <w:r>
              <w:rPr>
                <w:rFonts w:ascii="仿宋_GB2312" w:hAnsi="宋体" w:eastAsia="仿宋_GB2312" w:cs="宋体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培训党员干部满意度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100%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218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项目计划总成本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年初预算安排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100%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18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17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不适用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不适用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549" w:type="dxa"/>
            <w:gridSpan w:val="6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总分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100</w:t>
            </w:r>
          </w:p>
        </w:tc>
        <w:tc>
          <w:tcPr>
            <w:tcW w:w="8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87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</w:tbl>
    <w:p>
      <w:pPr>
        <w:spacing w:before="52" w:line="219" w:lineRule="auto"/>
        <w:jc w:val="left"/>
        <w:rPr>
          <w:rFonts w:ascii="仿宋_GB2312" w:hAnsi="宋体" w:eastAsia="仿宋_GB2312" w:cs="宋体"/>
          <w:kern w:val="0"/>
          <w:lang w:eastAsia="zh-CN"/>
        </w:rPr>
      </w:pPr>
      <w:r>
        <w:rPr>
          <w:rFonts w:ascii="仿宋_GB2312" w:hAnsi="宋体" w:eastAsia="仿宋_GB2312" w:cs="宋体"/>
          <w:kern w:val="0"/>
          <w:lang w:eastAsia="zh-CN"/>
        </w:rPr>
        <w:t>备注： 一个一级项目支出一张表。如，业务工作经费，运行维护经费，其他事业发展类资金…各一张表.</w:t>
      </w:r>
    </w:p>
    <w:p>
      <w:pPr>
        <w:spacing w:line="240" w:lineRule="auto"/>
        <w:ind w:firstLine="420"/>
        <w:jc w:val="left"/>
        <w:rPr>
          <w:rFonts w:ascii="宋体" w:hAnsi="宋体" w:eastAsia="宋体" w:cs="宋体"/>
          <w:kern w:val="0"/>
          <w:lang w:eastAsia="zh-CN"/>
        </w:rPr>
      </w:pPr>
    </w:p>
    <w:p>
      <w:pPr>
        <w:rPr>
          <w:rFonts w:ascii="仿宋_GB2312" w:hAnsi="宋体" w:eastAsia="仿宋_GB2312" w:cs="宋体"/>
          <w:lang w:eastAsia="zh-CN"/>
        </w:rPr>
        <w:sectPr>
          <w:footerReference r:id="rId7" w:type="default"/>
          <w:pgSz w:w="11907" w:h="16839"/>
          <w:pgMar w:top="1531" w:right="1474" w:bottom="1531" w:left="1587" w:header="0" w:footer="1588" w:gutter="0"/>
          <w:pgNumType w:fmt="numberInDash"/>
          <w:cols w:space="720" w:num="1"/>
          <w:docGrid w:linePitch="286" w:charSpace="0"/>
        </w:sectPr>
      </w:pPr>
      <w:r>
        <w:rPr>
          <w:rFonts w:hint="eastAsia" w:ascii="仿宋_GB2312" w:hAnsi="宋体" w:eastAsia="仿宋_GB2312" w:cs="宋体"/>
          <w:kern w:val="0"/>
          <w:lang w:eastAsia="zh-CN"/>
        </w:rPr>
        <w:t>填表人：何林</w:t>
      </w:r>
      <w:r>
        <w:rPr>
          <w:rFonts w:ascii="仿宋_GB2312" w:hAnsi="宋体" w:eastAsia="仿宋_GB2312" w:cs="宋体"/>
          <w:kern w:val="0"/>
          <w:lang w:eastAsia="zh-CN"/>
        </w:rPr>
        <w:t xml:space="preserve">      </w:t>
      </w:r>
      <w:r>
        <w:rPr>
          <w:rFonts w:hint="eastAsia" w:ascii="仿宋_GB2312" w:hAnsi="宋体" w:eastAsia="仿宋_GB2312" w:cs="宋体"/>
          <w:kern w:val="0"/>
          <w:lang w:eastAsia="zh-CN"/>
        </w:rPr>
        <w:t>填报日期：</w:t>
      </w:r>
      <w:r>
        <w:rPr>
          <w:rFonts w:hint="eastAsia" w:ascii="仿宋_GB2312" w:hAnsi="宋体" w:eastAsia="仿宋_GB2312" w:cs="宋体"/>
          <w:kern w:val="0"/>
          <w:lang w:val="en-US" w:eastAsia="zh-CN"/>
        </w:rPr>
        <w:t>2024.05</w:t>
      </w:r>
      <w:r>
        <w:rPr>
          <w:rFonts w:ascii="仿宋_GB2312" w:hAnsi="宋体" w:eastAsia="仿宋_GB2312" w:cs="宋体"/>
          <w:kern w:val="0"/>
          <w:lang w:eastAsia="zh-CN"/>
        </w:rPr>
        <w:t xml:space="preserve">       </w:t>
      </w:r>
      <w:r>
        <w:rPr>
          <w:rFonts w:hint="eastAsia" w:ascii="仿宋_GB2312" w:hAnsi="宋体" w:eastAsia="仿宋_GB2312" w:cs="宋体"/>
          <w:kern w:val="0"/>
          <w:lang w:eastAsia="zh-CN"/>
        </w:rPr>
        <w:t>联系电话：</w:t>
      </w:r>
      <w:r>
        <w:rPr>
          <w:rFonts w:hint="eastAsia" w:ascii="仿宋_GB2312" w:hAnsi="宋体" w:eastAsia="仿宋_GB2312" w:cs="宋体"/>
          <w:kern w:val="0"/>
          <w:lang w:val="en-US" w:eastAsia="zh-CN"/>
        </w:rPr>
        <w:t>5243800</w:t>
      </w:r>
      <w:r>
        <w:rPr>
          <w:rFonts w:ascii="仿宋_GB2312" w:hAnsi="宋体" w:eastAsia="仿宋_GB2312" w:cs="宋体"/>
          <w:kern w:val="0"/>
          <w:lang w:eastAsia="zh-CN"/>
        </w:rPr>
        <w:t xml:space="preserve">      </w:t>
      </w:r>
      <w:r>
        <w:rPr>
          <w:rFonts w:hint="eastAsia" w:ascii="仿宋_GB2312" w:hAnsi="宋体" w:eastAsia="仿宋_GB2312" w:cs="宋体"/>
          <w:kern w:val="0"/>
          <w:lang w:eastAsia="zh-CN"/>
        </w:rPr>
        <w:t>单位负责人签字:</w:t>
      </w:r>
    </w:p>
    <w:p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附件4</w:t>
      </w:r>
    </w:p>
    <w:p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年度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中共汨罗市委党校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部门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(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)</w:t>
      </w:r>
    </w:p>
    <w:p>
      <w:pPr>
        <w:spacing w:line="240" w:lineRule="auto"/>
        <w:ind w:firstLine="880"/>
        <w:jc w:val="center"/>
        <w:rPr>
          <w:rFonts w:ascii="方正小标宋简体" w:eastAsia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整体支出绩效自评报告</w:t>
      </w: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  <w:t>部门(单位)名称：</w:t>
      </w: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u w:val="single"/>
          <w:lang w:val="en-US" w:eastAsia="zh-CN" w:bidi="ar-SA"/>
        </w:rPr>
        <w:t>(盖章)</w:t>
      </w:r>
    </w:p>
    <w:p>
      <w:pPr>
        <w:spacing w:before="274" w:line="225" w:lineRule="auto"/>
        <w:ind w:firstLine="617"/>
        <w:jc w:val="center"/>
        <w:rPr>
          <w:rFonts w:ascii="楷体_GB2312" w:hAnsi="楷体" w:eastAsia="楷体_GB2312" w:cs="楷体"/>
          <w:kern w:val="0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 xml:space="preserve">年   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eastAsia="zh-CN"/>
        </w:rPr>
        <w:t xml:space="preserve">月    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>日</w:t>
      </w: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  <w:t>(此页为封面)</w:t>
      </w: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sdt>
      <w:sdtPr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  <w:id w:val="3580075"/>
        <w:docPartObj>
          <w:docPartGallery w:val="autotext"/>
        </w:docPartObj>
      </w:sdtPr>
      <w:sdtEndPr>
        <w:rPr>
          <w:rFonts w:hint="eastAsia" w:cs="Arial" w:asciiTheme="minorEastAsia" w:hAnsiTheme="minorEastAsia" w:eastAsiaTheme="minorEastAsia"/>
          <w:snapToGrid w:val="0"/>
          <w:color w:val="000000"/>
          <w:kern w:val="0"/>
          <w:sz w:val="28"/>
          <w:szCs w:val="28"/>
          <w:lang w:val="en-US" w:eastAsia="en-US" w:bidi="ar-SA"/>
        </w:rPr>
      </w:sdtEndPr>
      <w:sdtContent>
        <w:p>
          <w:pPr>
            <w:pStyle w:val="3"/>
            <w:ind w:firstLine="360"/>
            <w:jc w:val="left"/>
            <w:rPr>
              <w:rFonts w:asciiTheme="minorEastAsia" w:hAnsiTheme="minorEastAsia" w:eastAsiaTheme="minorEastAsia"/>
              <w:kern w:val="0"/>
              <w:lang w:eastAsia="zh-CN"/>
            </w:rPr>
          </w:pPr>
        </w:p>
      </w:sdtContent>
    </w:sdt>
    <w:p>
      <w:pPr>
        <w:spacing w:before="130" w:line="221" w:lineRule="auto"/>
        <w:jc w:val="center"/>
        <w:rPr>
          <w:rFonts w:ascii="黑体" w:hAnsi="黑体" w:eastAsia="黑体" w:cs="黑体"/>
          <w:spacing w:val="16"/>
          <w:sz w:val="40"/>
          <w:szCs w:val="40"/>
        </w:rPr>
      </w:pPr>
      <w:r>
        <w:rPr>
          <w:rFonts w:ascii="黑体" w:hAnsi="黑体" w:eastAsia="黑体" w:cs="黑体"/>
          <w:spacing w:val="16"/>
          <w:sz w:val="40"/>
          <w:szCs w:val="40"/>
        </w:rPr>
        <w:t>202</w:t>
      </w:r>
      <w:r>
        <w:rPr>
          <w:rFonts w:hint="eastAsia" w:ascii="黑体" w:hAnsi="黑体" w:eastAsia="黑体" w:cs="黑体"/>
          <w:spacing w:val="16"/>
          <w:sz w:val="40"/>
          <w:szCs w:val="40"/>
          <w:lang w:val="en-US" w:eastAsia="zh-CN"/>
        </w:rPr>
        <w:t>2</w:t>
      </w:r>
      <w:r>
        <w:rPr>
          <w:rFonts w:ascii="黑体" w:hAnsi="黑体" w:eastAsia="黑体" w:cs="黑体"/>
          <w:spacing w:val="16"/>
          <w:sz w:val="40"/>
          <w:szCs w:val="40"/>
        </w:rPr>
        <w:t xml:space="preserve"> 年度</w:t>
      </w:r>
      <w:r>
        <w:rPr>
          <w:rFonts w:hint="eastAsia" w:ascii="黑体" w:hAnsi="黑体" w:eastAsia="黑体" w:cs="黑体"/>
          <w:spacing w:val="-60"/>
          <w:sz w:val="40"/>
          <w:szCs w:val="40"/>
          <w:lang w:eastAsia="zh-CN"/>
        </w:rPr>
        <w:t>中共汨罗市委党校</w:t>
      </w:r>
      <w:r>
        <w:rPr>
          <w:rFonts w:ascii="黑体" w:hAnsi="黑体" w:eastAsia="黑体" w:cs="黑体"/>
          <w:spacing w:val="16"/>
          <w:sz w:val="40"/>
          <w:szCs w:val="40"/>
        </w:rPr>
        <w:t>部门整体支出绩效</w:t>
      </w:r>
    </w:p>
    <w:p>
      <w:pPr>
        <w:spacing w:before="130" w:line="221" w:lineRule="auto"/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自</w:t>
      </w:r>
      <w:r>
        <w:rPr>
          <w:rFonts w:ascii="黑体" w:hAnsi="黑体" w:eastAsia="黑体" w:cs="黑体"/>
          <w:spacing w:val="82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评</w:t>
      </w:r>
      <w:r>
        <w:rPr>
          <w:rFonts w:ascii="黑体" w:hAnsi="黑体" w:eastAsia="黑体" w:cs="黑体"/>
          <w:spacing w:val="79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报</w:t>
      </w:r>
      <w:r>
        <w:rPr>
          <w:rFonts w:ascii="黑体" w:hAnsi="黑体" w:eastAsia="黑体" w:cs="黑体"/>
          <w:spacing w:val="87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告</w:t>
      </w: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before="211" w:line="224" w:lineRule="auto"/>
        <w:ind w:firstLine="640"/>
        <w:jc w:val="both"/>
        <w:textAlignment w:val="baseline"/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部门</w:t>
      </w:r>
      <w:r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(</w:t>
      </w: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单位</w:t>
      </w:r>
      <w:r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)</w:t>
      </w: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基本情况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1" w:line="360" w:lineRule="auto"/>
        <w:jc w:val="both"/>
        <w:textAlignment w:val="baseline"/>
        <w:rPr>
          <w:rFonts w:hint="default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z w:val="32"/>
          <w:szCs w:val="32"/>
          <w:lang w:val="en-US" w:eastAsia="zh-CN" w:bidi="ar-SA"/>
        </w:rPr>
        <w:t xml:space="preserve"> </w:t>
      </w:r>
      <w:r>
        <w:rPr>
          <w:rStyle w:val="11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我校为市委市政府领导下培养党员领导干部和理论干部的学校，是市委市政府的重要部门，以宣传马克思列宁主义、毛泽东思想、邓小平理论、“三个代表”重要思想、科学发展观、习近平新时代中国特色</w:t>
      </w:r>
      <w:bookmarkStart w:id="0" w:name="_GoBack"/>
      <w:bookmarkEnd w:id="0"/>
      <w:r>
        <w:rPr>
          <w:rStyle w:val="11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主义思想及党的路线、方针、政策为主要内容，以培训轮训培养党员领导干部和理论干部为主业，设有办公室、教务教研科、行政事务科、社会培训科等4个科室，现有教职员工人员21人，其中校长1人、副校长4人。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二、一般公共预算支出情况</w:t>
      </w:r>
    </w:p>
    <w:p>
      <w:pPr>
        <w:pStyle w:val="9"/>
        <w:spacing w:line="600" w:lineRule="exact"/>
        <w:ind w:firstLine="643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/>
          <w:kern w:val="0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基本支出情况</w:t>
      </w:r>
    </w:p>
    <w:p>
      <w:pPr>
        <w:pStyle w:val="9"/>
        <w:spacing w:line="600" w:lineRule="exact"/>
        <w:ind w:firstLine="643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 xml:space="preserve"> 中共汨罗市委党校2022年基本支出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274.6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万元。其中：人员经费支出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220.98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万元，主要包括：基本工资、津贴补贴、奖金、绩效工资、机关事业单位基本养老保险缴费、职工基本医疗保险缴费、其他社会保险保障缴费、住房公积金、其他工资福利支出；公用经费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53.62万元，主要包括：办公费、印刷费、水电费、维修（护）费、差旅费、其他商品服务支出等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。</w:t>
      </w:r>
    </w:p>
    <w:p>
      <w:pPr>
        <w:pStyle w:val="9"/>
        <w:numPr>
          <w:ilvl w:val="0"/>
          <w:numId w:val="2"/>
        </w:numPr>
        <w:spacing w:line="600" w:lineRule="exact"/>
        <w:ind w:firstLine="643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项目支出情况</w:t>
      </w:r>
    </w:p>
    <w:p>
      <w:pPr>
        <w:pStyle w:val="9"/>
        <w:numPr>
          <w:ilvl w:val="0"/>
          <w:numId w:val="0"/>
        </w:numPr>
        <w:spacing w:line="600" w:lineRule="exact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1、专项资金安排落实、总投入等情况分析</w:t>
      </w:r>
    </w:p>
    <w:p>
      <w:pPr>
        <w:pStyle w:val="9"/>
        <w:numPr>
          <w:ilvl w:val="0"/>
          <w:numId w:val="0"/>
        </w:numPr>
        <w:spacing w:line="600" w:lineRule="exact"/>
        <w:jc w:val="both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 xml:space="preserve">     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根据年初制定培训计划，协助市委组织部、统战、宣传部等市直部门做好各类培训班6次，共计2482人，共计支出43.33万元（专项用于学习班培训生活费、学习资料、书籍等）。其次疫情防控经费48万元，作为疫情防控隔离点，接收隔离人员达1200余人，党校为隔离人员、医护人员、防疫工作人员提供生活保障。校园基本建设及维修经费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5万元，为培训学员提供优质校园环境，提升学习满意度。</w:t>
      </w:r>
    </w:p>
    <w:p>
      <w:pPr>
        <w:pStyle w:val="9"/>
        <w:numPr>
          <w:ilvl w:val="0"/>
          <w:numId w:val="0"/>
        </w:numPr>
        <w:spacing w:line="600" w:lineRule="exact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 xml:space="preserve">     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2、专项资金实际使用情况分析</w:t>
      </w:r>
    </w:p>
    <w:p>
      <w:pPr>
        <w:pStyle w:val="9"/>
        <w:numPr>
          <w:ilvl w:val="0"/>
          <w:numId w:val="0"/>
        </w:numPr>
        <w:spacing w:line="600" w:lineRule="exact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 xml:space="preserve">     我校干部教育培训项目资金使用严格按照“经费跟着项目走”的原则，将市财政拨付的年度干部教育培训经费全部用于举办各类培训班次，全年共使用培训经费43.33万元。各类培训班均按原定计划完成培训任务。疫情防控经费用于防疫期间隔离人员、医护人员食宿及生活用品保障，根据防疫要求建设防疫垃圾处理站，严格控制经费使用。</w:t>
      </w:r>
    </w:p>
    <w:p>
      <w:pPr>
        <w:numPr>
          <w:ilvl w:val="0"/>
          <w:numId w:val="0"/>
        </w:numPr>
        <w:spacing w:line="600" w:lineRule="exact"/>
        <w:ind w:left="640" w:leftChars="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三、政府性基金预算支出情况</w:t>
      </w:r>
    </w:p>
    <w:p>
      <w:pPr>
        <w:numPr>
          <w:ilvl w:val="0"/>
          <w:numId w:val="0"/>
        </w:numPr>
        <w:spacing w:line="600" w:lineRule="exact"/>
        <w:ind w:left="640" w:leftChars="0"/>
        <w:jc w:val="both"/>
        <w:rPr>
          <w:rFonts w:hint="default" w:ascii="方正黑体_GBK" w:eastAsia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 xml:space="preserve"> 2022年度本单位无政府性基金预算支出。</w:t>
      </w:r>
    </w:p>
    <w:p>
      <w:pPr>
        <w:numPr>
          <w:ilvl w:val="0"/>
          <w:numId w:val="0"/>
        </w:numPr>
        <w:spacing w:line="600" w:lineRule="exact"/>
        <w:ind w:left="640" w:leftChars="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四、国有资本经营预算支出情况</w:t>
      </w:r>
    </w:p>
    <w:p>
      <w:pPr>
        <w:numPr>
          <w:ilvl w:val="0"/>
          <w:numId w:val="0"/>
        </w:numPr>
        <w:spacing w:line="600" w:lineRule="exact"/>
        <w:ind w:left="640" w:leftChars="0"/>
        <w:jc w:val="both"/>
        <w:rPr>
          <w:rFonts w:hint="default" w:ascii="方正黑体_GBK" w:eastAsia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2022年度本单位无国有资本经营预算支出。</w:t>
      </w:r>
    </w:p>
    <w:p>
      <w:pPr>
        <w:numPr>
          <w:ilvl w:val="0"/>
          <w:numId w:val="0"/>
        </w:numPr>
        <w:spacing w:line="600" w:lineRule="exact"/>
        <w:ind w:left="640" w:leftChars="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五、社会保险基金预算支出情况</w:t>
      </w:r>
    </w:p>
    <w:p>
      <w:pPr>
        <w:numPr>
          <w:ilvl w:val="0"/>
          <w:numId w:val="0"/>
        </w:numPr>
        <w:spacing w:line="600" w:lineRule="exact"/>
        <w:ind w:left="640" w:leftChars="0"/>
        <w:jc w:val="both"/>
        <w:rPr>
          <w:rFonts w:hint="default" w:ascii="方正黑体_GBK" w:eastAsia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2022年度本单位无社会保险基金预算支出。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六、部门整体支出绩效情况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中共汨罗市委党校围绕市委、市政府下达的各项目标任务，切实履行党校的职责，全面和超额完成各项工作任务。1、顶住疫情压力，举办主体班6次共计2482人，教育培训及社会培训820余人，全年累计培训达3302人。2、打造3堂专题课及成功推荐3堂精品课程。3、疫情防控提供后勤保障，连续为隔离人员及医护人员服务300多天，严控人员出入，保障安全，无一人员感染。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七、存在的问题及原因分析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 xml:space="preserve">  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kern w:val="0"/>
          <w:sz w:val="32"/>
          <w:szCs w:val="32"/>
          <w:lang w:eastAsia="zh-CN"/>
        </w:rPr>
        <w:t>1、财务监督管理机制还有待进一步加强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 xml:space="preserve">    2、财务人员的业务能力有待提高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 xml:space="preserve">    3、加强专项资金管理，按预算执行</w:t>
      </w:r>
    </w:p>
    <w:p>
      <w:p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八、下一步改进措施</w:t>
      </w:r>
    </w:p>
    <w:p>
      <w:p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1、我校坚持量入为出，节约为本，较好的体现了党校人艰苦奋斗的本色。随着各级对干部教育培训越来越重视，培训任务加重，建议增加培训经费的预算。 </w:t>
      </w:r>
    </w:p>
    <w:p>
      <w:p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2、财务工作人员要与时俱进，不断学习，多组织业务方面培训，多学习外单位经验。</w:t>
      </w:r>
    </w:p>
    <w:p>
      <w:pPr>
        <w:numPr>
          <w:ilvl w:val="0"/>
          <w:numId w:val="3"/>
        </w:num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部门整体支出绩效自评结果拟应用和公开情况</w:t>
      </w:r>
    </w:p>
    <w:p>
      <w:pPr>
        <w:numPr>
          <w:ilvl w:val="0"/>
          <w:numId w:val="0"/>
        </w:numPr>
        <w:spacing w:line="600" w:lineRule="exact"/>
        <w:jc w:val="both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本部门重视此项绩效自评工作，积极落实主体责任，切实加强组织领导，按照绩效评价相关制度规定，明确具体责任人，认真开展自评，撰写了此份绩效评价报告，确保绩效自评工作顺利实施，并按照要求进行信息公开，对存在的问题积极整改。</w:t>
      </w:r>
    </w:p>
    <w:p>
      <w:pPr>
        <w:spacing w:line="600" w:lineRule="exact"/>
        <w:ind w:firstLine="640" w:firstLineChars="200"/>
        <w:jc w:val="both"/>
        <w:rPr>
          <w:rFonts w:eastAsia="黑体"/>
          <w:kern w:val="0"/>
          <w:sz w:val="32"/>
          <w:szCs w:val="32"/>
          <w:lang w:eastAsia="zh-CN"/>
        </w:rPr>
      </w:pPr>
      <w:r>
        <w:rPr>
          <w:rFonts w:hint="eastAsia" w:eastAsia="黑体"/>
          <w:kern w:val="0"/>
          <w:sz w:val="32"/>
          <w:szCs w:val="32"/>
          <w:lang w:eastAsia="zh-CN"/>
        </w:rPr>
        <w:t>十、其他需要说明的情况</w:t>
      </w:r>
    </w:p>
    <w:p>
      <w:pPr>
        <w:spacing w:line="600" w:lineRule="exact"/>
        <w:ind w:firstLine="640" w:firstLineChars="200"/>
        <w:jc w:val="both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无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报告需要以下附件：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1</w:t>
      </w:r>
      <w:r>
        <w:rPr>
          <w:rFonts w:hint="eastAsia" w:eastAsia="仿宋_GB2312"/>
          <w:kern w:val="0"/>
          <w:sz w:val="32"/>
          <w:szCs w:val="32"/>
          <w:lang w:eastAsia="zh-CN"/>
        </w:rPr>
        <w:t>、部门整体支出绩效评价基础数据表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2</w:t>
      </w:r>
      <w:r>
        <w:rPr>
          <w:rFonts w:hint="eastAsia" w:eastAsia="仿宋_GB2312"/>
          <w:kern w:val="0"/>
          <w:sz w:val="32"/>
          <w:szCs w:val="32"/>
          <w:lang w:eastAsia="zh-CN"/>
        </w:rPr>
        <w:t>、部门整体支出绩效自评表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3</w:t>
      </w:r>
      <w:r>
        <w:rPr>
          <w:rFonts w:hint="eastAsia" w:eastAsia="仿宋_GB2312"/>
          <w:kern w:val="0"/>
          <w:sz w:val="32"/>
          <w:szCs w:val="32"/>
          <w:lang w:eastAsia="zh-CN"/>
        </w:rPr>
        <w:t>、项目支出绩效自评表（每个一级项目支出一张表）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4</w:t>
      </w:r>
      <w:r>
        <w:rPr>
          <w:rFonts w:hint="eastAsia" w:eastAsia="仿宋_GB2312"/>
          <w:kern w:val="0"/>
          <w:sz w:val="32"/>
          <w:szCs w:val="32"/>
          <w:lang w:eastAsia="zh-CN"/>
        </w:rPr>
        <w:t>、政府性基金预算支出情况表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5</w:t>
      </w:r>
      <w:r>
        <w:rPr>
          <w:rFonts w:hint="eastAsia" w:eastAsia="仿宋_GB2312"/>
          <w:kern w:val="0"/>
          <w:sz w:val="32"/>
          <w:szCs w:val="32"/>
          <w:lang w:eastAsia="zh-CN"/>
        </w:rPr>
        <w:t>、国有资本经营预算支出情况表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6</w:t>
      </w:r>
      <w:r>
        <w:rPr>
          <w:rFonts w:hint="eastAsia" w:eastAsia="仿宋_GB2312"/>
          <w:kern w:val="0"/>
          <w:sz w:val="32"/>
          <w:szCs w:val="32"/>
          <w:lang w:eastAsia="zh-CN"/>
        </w:rPr>
        <w:t>、社会保险基金预算支出情况表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val="en-US" w:eastAsia="zh-CN"/>
        </w:rPr>
        <w:t>5</w:t>
      </w:r>
    </w:p>
    <w:p>
      <w:pPr>
        <w:spacing w:before="201" w:line="578" w:lineRule="exact"/>
        <w:ind w:left="2169"/>
        <w:rPr>
          <w:rFonts w:ascii="黑体" w:hAnsi="黑体" w:eastAsia="黑体" w:cs="黑体"/>
          <w:sz w:val="42"/>
          <w:szCs w:val="42"/>
        </w:rPr>
      </w:pPr>
      <w:r>
        <w:rPr>
          <w:rFonts w:ascii="Times New Roman" w:hAnsi="Times New Roman" w:eastAsia="Times New Roman" w:cs="Times New Roman"/>
          <w:spacing w:val="15"/>
          <w:position w:val="10"/>
          <w:sz w:val="42"/>
          <w:szCs w:val="42"/>
        </w:rPr>
        <w:t>202</w:t>
      </w:r>
      <w:r>
        <w:rPr>
          <w:rFonts w:hint="eastAsia" w:ascii="Times New Roman" w:hAnsi="Times New Roman" w:eastAsia="宋体" w:cs="Times New Roman"/>
          <w:spacing w:val="15"/>
          <w:position w:val="10"/>
          <w:sz w:val="42"/>
          <w:szCs w:val="42"/>
          <w:lang w:val="en-US" w:eastAsia="zh-CN"/>
        </w:rPr>
        <w:t>2</w:t>
      </w:r>
      <w:r>
        <w:rPr>
          <w:rFonts w:ascii="Times New Roman" w:hAnsi="Times New Roman" w:eastAsia="Times New Roman" w:cs="Times New Roman"/>
          <w:spacing w:val="41"/>
          <w:position w:val="10"/>
          <w:sz w:val="42"/>
          <w:szCs w:val="42"/>
        </w:rPr>
        <w:t xml:space="preserve"> </w:t>
      </w:r>
      <w:r>
        <w:rPr>
          <w:rFonts w:ascii="黑体" w:hAnsi="黑体" w:eastAsia="黑体" w:cs="黑体"/>
          <w:spacing w:val="15"/>
          <w:position w:val="10"/>
          <w:sz w:val="42"/>
          <w:szCs w:val="42"/>
        </w:rPr>
        <w:t>年度</w:t>
      </w:r>
      <w:r>
        <w:rPr>
          <w:rFonts w:ascii="Times New Roman" w:hAnsi="Times New Roman" w:eastAsia="Times New Roman" w:cs="Times New Roman"/>
          <w:position w:val="10"/>
          <w:sz w:val="42"/>
          <w:szCs w:val="42"/>
        </w:rPr>
        <w:t>XX</w:t>
      </w:r>
      <w:r>
        <w:rPr>
          <w:rFonts w:ascii="Times New Roman" w:hAnsi="Times New Roman" w:eastAsia="Times New Roman" w:cs="Times New Roman"/>
          <w:spacing w:val="42"/>
          <w:position w:val="10"/>
          <w:sz w:val="42"/>
          <w:szCs w:val="42"/>
        </w:rPr>
        <w:t xml:space="preserve"> </w:t>
      </w:r>
      <w:r>
        <w:rPr>
          <w:rFonts w:ascii="黑体" w:hAnsi="黑体" w:eastAsia="黑体" w:cs="黑体"/>
          <w:spacing w:val="15"/>
          <w:position w:val="10"/>
          <w:sz w:val="42"/>
          <w:szCs w:val="42"/>
        </w:rPr>
        <w:t>项目支出</w:t>
      </w:r>
    </w:p>
    <w:p>
      <w:pPr>
        <w:spacing w:before="1" w:line="220" w:lineRule="auto"/>
        <w:ind w:left="3069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spacing w:val="10"/>
          <w:sz w:val="42"/>
          <w:szCs w:val="42"/>
        </w:rPr>
        <w:t>绩效自评报告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89" w:line="221" w:lineRule="auto"/>
        <w:ind w:left="2270"/>
        <w:rPr>
          <w:sz w:val="27"/>
          <w:szCs w:val="27"/>
        </w:rPr>
      </w:pPr>
      <w:r>
        <w:rPr>
          <w:spacing w:val="-22"/>
          <w:sz w:val="27"/>
          <w:szCs w:val="27"/>
        </w:rPr>
        <w:t>部 门 ( 单</w:t>
      </w:r>
      <w:r>
        <w:rPr>
          <w:spacing w:val="-19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位</w:t>
      </w:r>
      <w:r>
        <w:rPr>
          <w:spacing w:val="-43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)</w:t>
      </w:r>
      <w:r>
        <w:rPr>
          <w:spacing w:val="-36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名</w:t>
      </w:r>
      <w:r>
        <w:rPr>
          <w:spacing w:val="-37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称</w:t>
      </w:r>
      <w:r>
        <w:rPr>
          <w:spacing w:val="-54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：</w:t>
      </w:r>
      <w:r>
        <w:rPr>
          <w:spacing w:val="-22"/>
          <w:sz w:val="27"/>
          <w:szCs w:val="27"/>
          <w:u w:val="single" w:color="auto"/>
        </w:rPr>
        <w:t xml:space="preserve">   (</w:t>
      </w:r>
      <w:r>
        <w:rPr>
          <w:spacing w:val="68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盖</w:t>
      </w:r>
      <w:r>
        <w:rPr>
          <w:spacing w:val="64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章</w:t>
      </w:r>
      <w:r>
        <w:rPr>
          <w:spacing w:val="55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)</w:t>
      </w:r>
      <w:r>
        <w:rPr>
          <w:sz w:val="27"/>
          <w:szCs w:val="27"/>
          <w:u w:val="single" w:color="auto"/>
        </w:rPr>
        <w:t xml:space="preserve">     </w:t>
      </w:r>
    </w:p>
    <w:p>
      <w:pPr>
        <w:pStyle w:val="2"/>
        <w:spacing w:before="289" w:line="610" w:lineRule="exact"/>
        <w:ind w:left="3490"/>
        <w:rPr>
          <w:sz w:val="27"/>
          <w:szCs w:val="27"/>
        </w:rPr>
      </w:pPr>
      <w:r>
        <w:rPr>
          <w:spacing w:val="-13"/>
          <w:position w:val="26"/>
          <w:sz w:val="27"/>
          <w:szCs w:val="27"/>
        </w:rPr>
        <w:t>年   月</w:t>
      </w:r>
      <w:r>
        <w:rPr>
          <w:spacing w:val="12"/>
          <w:position w:val="26"/>
          <w:sz w:val="27"/>
          <w:szCs w:val="27"/>
        </w:rPr>
        <w:t xml:space="preserve">   </w:t>
      </w:r>
      <w:r>
        <w:rPr>
          <w:spacing w:val="-13"/>
          <w:position w:val="26"/>
          <w:sz w:val="27"/>
          <w:szCs w:val="27"/>
        </w:rPr>
        <w:t>日</w:t>
      </w:r>
    </w:p>
    <w:p>
      <w:pPr>
        <w:pStyle w:val="2"/>
        <w:spacing w:before="1" w:line="223" w:lineRule="auto"/>
        <w:ind w:left="3560"/>
        <w:rPr>
          <w:sz w:val="24"/>
          <w:szCs w:val="24"/>
        </w:rPr>
      </w:pPr>
      <w:r>
        <w:rPr>
          <w:spacing w:val="7"/>
          <w:sz w:val="24"/>
          <w:szCs w:val="24"/>
        </w:rPr>
        <w:t>(此面为封面)</w:t>
      </w:r>
    </w:p>
    <w:p>
      <w:pPr>
        <w:spacing w:line="223" w:lineRule="auto"/>
        <w:rPr>
          <w:sz w:val="24"/>
          <w:szCs w:val="24"/>
        </w:rPr>
        <w:sectPr>
          <w:footerReference r:id="rId8" w:type="default"/>
          <w:pgSz w:w="11900" w:h="16820"/>
          <w:pgMar w:top="1429" w:right="1782" w:bottom="1158" w:left="1450" w:header="0" w:footer="850" w:gutter="0"/>
          <w:cols w:space="720" w:num="1"/>
        </w:sectPr>
      </w:pPr>
    </w:p>
    <w:p>
      <w:pPr>
        <w:spacing w:before="137" w:line="221" w:lineRule="auto"/>
        <w:ind w:left="2336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b/>
          <w:bCs/>
          <w:spacing w:val="6"/>
          <w:sz w:val="42"/>
          <w:szCs w:val="42"/>
        </w:rPr>
        <w:t>项目支出绩效评价报告</w:t>
      </w:r>
    </w:p>
    <w:p>
      <w:pPr>
        <w:spacing w:before="190" w:line="227" w:lineRule="auto"/>
        <w:ind w:left="367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5"/>
          <w:sz w:val="31"/>
          <w:szCs w:val="31"/>
        </w:rPr>
        <w:t>(参考提纲)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一</w:t>
      </w:r>
      <w:r>
        <w:rPr>
          <w:rFonts w:ascii="黑体" w:hAnsi="黑体" w:eastAsia="黑体" w:cs="黑体"/>
          <w:spacing w:val="-15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、项目支出基本情况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(一)项目支出概况。</w:t>
      </w:r>
      <w:r>
        <w:rPr>
          <w:rFonts w:hint="eastAsia" w:eastAsia="仿宋_GB2312"/>
          <w:kern w:val="0"/>
          <w:sz w:val="32"/>
          <w:szCs w:val="32"/>
          <w:lang w:eastAsia="zh-CN"/>
        </w:rPr>
        <w:t>主要包括项目支出决策背景及其主要内容。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(二)项目资金使用管理情况。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主要包括：项目支出组织管 理机构；项目资金和项目管理制度建设，项目资金投向结构合理 性，资金拨付及时性等，项目立项、申报、评审、监督管理、验收等阶段组织实施的合规性等。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(三)项目支出绩效目标完成程度</w:t>
      </w:r>
      <w:r>
        <w:rPr>
          <w:rFonts w:ascii="楷体" w:hAnsi="楷体" w:eastAsia="楷体" w:cs="楷体"/>
          <w:b/>
          <w:bCs/>
          <w:spacing w:val="6"/>
          <w:position w:val="16"/>
          <w:sz w:val="31"/>
          <w:szCs w:val="31"/>
        </w:rPr>
        <w:t>。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主要包括绩效总目标和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阶段性目标，实现的产出情况和取得的效益情况。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二、绩效评价工作情况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三 、项目支出主要绩效及评价结论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四、 绩效评价指标分析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(一)项目支出决策情况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(二)项目执行过程情况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(三)项目支出产出情况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(四)项目支出效益情况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五、主要经验及做法、存在的问题及原因分析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0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可从资金分配和安排，资金指标下达、资金拨付和资金使用 进度，资金使用管理，项目管理，政策适应性等方面概括存在的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主要问题。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六、有关建议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七、其他需要说明的问题</w:t>
      </w:r>
    </w:p>
    <w:sectPr>
      <w:footerReference r:id="rId9" w:type="default"/>
      <w:pgSz w:w="11900" w:h="16820"/>
      <w:pgMar w:top="1755" w:right="1227" w:bottom="1485" w:left="1011" w:header="0" w:footer="9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7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>
        <w:pPr>
          <w:pStyle w:val="3"/>
          <w:jc w:val="right"/>
          <w:rPr>
            <w:rFonts w:asciiTheme="minorEastAsia" w:hAnsiTheme="minorEastAsia" w:eastAsiaTheme="minorEastAsia"/>
            <w:kern w:val="0"/>
            <w:sz w:val="28"/>
            <w:szCs w:val="28"/>
          </w:rPr>
        </w:pPr>
      </w:p>
    </w:sdtContent>
  </w:sdt>
  <w:p>
    <w:pPr>
      <w:spacing w:before="1" w:line="175" w:lineRule="auto"/>
      <w:ind w:left="444"/>
      <w:jc w:val="left"/>
      <w:rPr>
        <w:rFonts w:ascii="宋体" w:hAnsi="宋体" w:eastAsia="宋体" w:cs="宋体"/>
        <w:kern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6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>
        <w:pPr>
          <w:pStyle w:val="3"/>
          <w:jc w:val="left"/>
          <w:rPr>
            <w:rFonts w:asciiTheme="minorEastAsia" w:hAnsiTheme="minorEastAsia" w:eastAsiaTheme="minorEastAsia"/>
            <w:kern w:val="0"/>
            <w:sz w:val="28"/>
            <w:szCs w:val="28"/>
          </w:rPr>
        </w:pP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kern w:val="0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end"/>
        </w:r>
      </w:p>
    </w:sdtContent>
  </w:sdt>
  <w:p>
    <w:pPr>
      <w:pStyle w:val="3"/>
      <w:jc w:val="left"/>
      <w:rPr>
        <w:rFonts w:eastAsiaTheme="minorEastAsia"/>
        <w:kern w:val="0"/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141"/>
      <w:docPartObj>
        <w:docPartGallery w:val="autotext"/>
      </w:docPartObj>
    </w:sdtPr>
    <w:sdtEndPr>
      <w:rPr>
        <w:rFonts w:hint="eastAsia"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>
        <w:pPr>
          <w:pStyle w:val="3"/>
          <w:jc w:val="right"/>
          <w:rPr>
            <w:rFonts w:asciiTheme="minorEastAsia" w:hAnsiTheme="minorEastAsia" w:eastAsiaTheme="minorEastAsia"/>
            <w:kern w:val="0"/>
          </w:rPr>
        </w:pPr>
      </w:p>
    </w:sdtContent>
  </w:sdt>
  <w:p>
    <w:pPr>
      <w:spacing w:line="14" w:lineRule="auto"/>
      <w:jc w:val="left"/>
      <w:rPr>
        <w:kern w:val="0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jc w:val="right"/>
      <w:rPr>
        <w:rFonts w:ascii="宋体" w:hAnsi="宋体" w:eastAsia="宋体" w:cs="宋体"/>
        <w:sz w:val="31"/>
        <w:szCs w:val="3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274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4E9912"/>
    <w:multiLevelType w:val="singleLevel"/>
    <w:tmpl w:val="0E4E9912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A15CA4E"/>
    <w:multiLevelType w:val="singleLevel"/>
    <w:tmpl w:val="2A15CA4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A5F02D9"/>
    <w:multiLevelType w:val="singleLevel"/>
    <w:tmpl w:val="3A5F02D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IzMDliNGZiMmMyODk2YmIxNDJkNWFhODNhN2E5NjUifQ=="/>
  </w:docVars>
  <w:rsids>
    <w:rsidRoot w:val="00000000"/>
    <w:rsid w:val="016607E5"/>
    <w:rsid w:val="01AF3811"/>
    <w:rsid w:val="03795BF7"/>
    <w:rsid w:val="03C72284"/>
    <w:rsid w:val="04A847C0"/>
    <w:rsid w:val="06DF4767"/>
    <w:rsid w:val="086E756B"/>
    <w:rsid w:val="0ACF37E5"/>
    <w:rsid w:val="0AF838A6"/>
    <w:rsid w:val="0B400BC6"/>
    <w:rsid w:val="0C57284E"/>
    <w:rsid w:val="0C5F5156"/>
    <w:rsid w:val="0C600E4F"/>
    <w:rsid w:val="0E68228D"/>
    <w:rsid w:val="15276E52"/>
    <w:rsid w:val="16027CCE"/>
    <w:rsid w:val="166056E6"/>
    <w:rsid w:val="16BE3096"/>
    <w:rsid w:val="19D32FBC"/>
    <w:rsid w:val="1E333DD2"/>
    <w:rsid w:val="1E6A4395"/>
    <w:rsid w:val="1EC41FC5"/>
    <w:rsid w:val="24062738"/>
    <w:rsid w:val="254D4C33"/>
    <w:rsid w:val="25557A3D"/>
    <w:rsid w:val="26DC2FAC"/>
    <w:rsid w:val="26EA5ED7"/>
    <w:rsid w:val="27A93B82"/>
    <w:rsid w:val="2A9D7E77"/>
    <w:rsid w:val="2AE00186"/>
    <w:rsid w:val="308216BE"/>
    <w:rsid w:val="335F1E64"/>
    <w:rsid w:val="33A45AC9"/>
    <w:rsid w:val="347A47AC"/>
    <w:rsid w:val="349679F1"/>
    <w:rsid w:val="34FE1149"/>
    <w:rsid w:val="39B32F0A"/>
    <w:rsid w:val="3A550786"/>
    <w:rsid w:val="3B7A130F"/>
    <w:rsid w:val="3F6A7BC7"/>
    <w:rsid w:val="3F9D0D7D"/>
    <w:rsid w:val="409C74A8"/>
    <w:rsid w:val="41650F8E"/>
    <w:rsid w:val="42D335D7"/>
    <w:rsid w:val="44CF1336"/>
    <w:rsid w:val="453A4083"/>
    <w:rsid w:val="45863298"/>
    <w:rsid w:val="48C01258"/>
    <w:rsid w:val="4BF577C6"/>
    <w:rsid w:val="4C242852"/>
    <w:rsid w:val="4C746F8D"/>
    <w:rsid w:val="4DFC4D5C"/>
    <w:rsid w:val="4EC8101E"/>
    <w:rsid w:val="4F8B6063"/>
    <w:rsid w:val="4F8D706F"/>
    <w:rsid w:val="50EE27C3"/>
    <w:rsid w:val="50F43794"/>
    <w:rsid w:val="52FA3F96"/>
    <w:rsid w:val="55850F17"/>
    <w:rsid w:val="566A45E8"/>
    <w:rsid w:val="5737087F"/>
    <w:rsid w:val="57AE6D93"/>
    <w:rsid w:val="58D97E3F"/>
    <w:rsid w:val="5FB47C96"/>
    <w:rsid w:val="5FB623A7"/>
    <w:rsid w:val="62987E9F"/>
    <w:rsid w:val="64992B79"/>
    <w:rsid w:val="698B145B"/>
    <w:rsid w:val="6A621407"/>
    <w:rsid w:val="6E3851B0"/>
    <w:rsid w:val="6FF005A6"/>
    <w:rsid w:val="71416999"/>
    <w:rsid w:val="737E68B1"/>
    <w:rsid w:val="74AD5254"/>
    <w:rsid w:val="797177C8"/>
    <w:rsid w:val="7BC309A6"/>
    <w:rsid w:val="7DD054CA"/>
    <w:rsid w:val="7ED677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autoRedefine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footer"/>
    <w:autoRedefine/>
    <w:qFormat/>
    <w:uiPriority w:val="99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560" w:lineRule="exact"/>
      <w:textAlignment w:val="baseline"/>
    </w:pPr>
    <w:rPr>
      <w:rFonts w:ascii="Arial" w:hAnsi="Arial" w:eastAsia="Arial" w:cs="Arial"/>
      <w:snapToGrid w:val="0"/>
      <w:color w:val="000000"/>
      <w:sz w:val="18"/>
      <w:szCs w:val="18"/>
      <w:lang w:val="en-US" w:eastAsia="en-US" w:bidi="ar-SA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9">
    <w:name w:val="List Paragraph"/>
    <w:link w:val="10"/>
    <w:autoRedefine/>
    <w:unhideWhenUsed/>
    <w:qFormat/>
    <w:uiPriority w:val="99"/>
    <w:pPr>
      <w:kinsoku w:val="0"/>
      <w:autoSpaceDE w:val="0"/>
      <w:autoSpaceDN w:val="0"/>
      <w:adjustRightInd w:val="0"/>
      <w:snapToGrid w:val="0"/>
      <w:ind w:firstLine="420" w:firstLineChars="20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customStyle="1" w:styleId="10">
    <w:name w:val="List Paragraph Char"/>
    <w:link w:val="9"/>
    <w:uiPriority w:val="99"/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customStyle="1" w:styleId="11">
    <w:name w:val="正文文本 Char"/>
    <w:link w:val="2"/>
    <w:uiPriority w:val="0"/>
    <w:rPr>
      <w:rFonts w:ascii="仿宋" w:hAnsi="仿宋" w:eastAsia="仿宋" w:cs="仿宋"/>
      <w:sz w:val="34"/>
      <w:szCs w:val="3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3375</Words>
  <Characters>3712</Characters>
  <TotalTime>101</TotalTime>
  <ScaleCrop>false</ScaleCrop>
  <LinksUpToDate>false</LinksUpToDate>
  <CharactersWithSpaces>3950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2024-04-19T21:25:00Z</dcterms:created>
  <dc:creator>Administrator</dc:creator>
  <cp:lastModifiedBy>WPS_665435720</cp:lastModifiedBy>
  <cp:lastPrinted>2024-05-21T14:05:00Z</cp:lastPrinted>
  <dcterms:modified xsi:type="dcterms:W3CDTF">2024-06-27T06:50:40Z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2024-04-19T21:25:46Z</vt:filetime>
  </property>
  <property fmtid="{D5CDD505-2E9C-101B-9397-08002B2CF9AE}" pid="4" name="UsrData">
    <vt:lpwstr>662270d4e44a44001f699c5cwl</vt:lpwstr>
  </property>
  <property fmtid="{D5CDD505-2E9C-101B-9397-08002B2CF9AE}" pid="5" name="KSOProductBuildVer">
    <vt:lpwstr>2052-12.1.0.16929</vt:lpwstr>
  </property>
  <property fmtid="{D5CDD505-2E9C-101B-9397-08002B2CF9AE}" pid="6" name="ICV">
    <vt:lpwstr>A1E9AC54BF58440288AD196632C2A254_12</vt:lpwstr>
  </property>
</Properties>
</file>