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Calibri" w:hAnsi="Calibri" w:eastAsia="方正小标宋简体" w:cs="Times New Roman"/>
          <w:b/>
          <w:bCs/>
          <w:color w:val="000000"/>
          <w:kern w:val="2"/>
          <w:sz w:val="44"/>
          <w:szCs w:val="44"/>
          <w:lang w:eastAsia="zh-CN"/>
        </w:rPr>
      </w:pPr>
      <w:bookmarkStart w:id="0" w:name="_GoBack"/>
      <w:r>
        <w:rPr>
          <w:rFonts w:hint="eastAsia" w:eastAsia="方正小标宋简体" w:cs="Times New Roman"/>
          <w:sz w:val="44"/>
          <w:szCs w:val="44"/>
          <w:lang w:eastAsia="zh-CN"/>
        </w:rPr>
        <w:t>《</w:t>
      </w:r>
      <w:r>
        <w:rPr>
          <w:rFonts w:ascii="Times New Roman" w:hAnsi="Times New Roman" w:eastAsia="方正小标宋简体" w:cs="Times New Roman"/>
          <w:sz w:val="44"/>
          <w:szCs w:val="44"/>
        </w:rPr>
        <w:t>汨罗市人民政府关于城市规划区重点管控区域禁止个人建房的通告</w:t>
      </w:r>
      <w:r>
        <w:rPr>
          <w:rFonts w:hint="eastAsia" w:eastAsia="方正小标宋简体" w:cs="Times New Roman"/>
          <w:sz w:val="44"/>
          <w:szCs w:val="44"/>
          <w:lang w:eastAsia="zh-CN"/>
        </w:rPr>
        <w:t>》</w:t>
      </w:r>
      <w:r>
        <w:rPr>
          <w:rFonts w:hint="eastAsia" w:ascii="Calibri" w:hAnsi="Calibri" w:eastAsia="方正小标宋简体" w:cs="Times New Roman"/>
          <w:b w:val="0"/>
          <w:bCs w:val="0"/>
          <w:color w:val="000000"/>
          <w:kern w:val="2"/>
          <w:sz w:val="44"/>
          <w:szCs w:val="44"/>
          <w:lang w:eastAsia="zh-CN"/>
        </w:rPr>
        <w:t>政策文件解读</w:t>
      </w:r>
    </w:p>
    <w:bookmarkEnd w:id="0"/>
    <w:p>
      <w:pPr>
        <w:jc w:val="both"/>
        <w:rPr>
          <w:rFonts w:hint="eastAsia" w:ascii="Calibri" w:hAnsi="Calibri" w:eastAsia="方正小标宋简体" w:cs="Times New Roman"/>
          <w:b/>
          <w:bCs/>
          <w:color w:val="000000"/>
          <w:kern w:val="2"/>
          <w:sz w:val="44"/>
          <w:szCs w:val="44"/>
          <w:lang w:eastAsia="zh-CN"/>
        </w:rPr>
      </w:pPr>
    </w:p>
    <w:p>
      <w:pPr>
        <w:keepNext w:val="0"/>
        <w:keepLines w:val="0"/>
        <w:pageBreakBefore w:val="0"/>
        <w:numPr>
          <w:ilvl w:val="0"/>
          <w:numId w:val="1"/>
        </w:numPr>
        <w:kinsoku/>
        <w:wordWrap/>
        <w:overflowPunct/>
        <w:topLinePunct w:val="0"/>
        <w:autoSpaceDE/>
        <w:autoSpaceDN/>
        <w:bidi w:val="0"/>
        <w:adjustRightInd/>
        <w:snapToGrid/>
        <w:spacing w:line="520" w:lineRule="exact"/>
        <w:ind w:left="-10" w:leftChars="0" w:firstLine="640" w:firstLineChars="0"/>
        <w:rPr>
          <w:rFonts w:hint="eastAsia" w:ascii="仿宋" w:hAnsi="仿宋" w:eastAsia="仿宋" w:cs="仿宋"/>
          <w:b/>
          <w:bCs/>
          <w:sz w:val="32"/>
          <w:szCs w:val="32"/>
        </w:rPr>
      </w:pPr>
      <w:r>
        <w:rPr>
          <w:rFonts w:hint="eastAsia" w:ascii="仿宋" w:hAnsi="仿宋" w:eastAsia="仿宋" w:cs="仿宋"/>
          <w:b/>
          <w:bCs/>
          <w:sz w:val="32"/>
          <w:szCs w:val="32"/>
          <w:lang w:eastAsia="zh-CN"/>
        </w:rPr>
        <w:t>制定背景及</w:t>
      </w:r>
      <w:r>
        <w:rPr>
          <w:rFonts w:hint="eastAsia" w:ascii="仿宋" w:hAnsi="仿宋" w:eastAsia="仿宋" w:cs="仿宋"/>
          <w:b/>
          <w:bCs/>
          <w:sz w:val="32"/>
          <w:szCs w:val="32"/>
        </w:rPr>
        <w:t>必要性、可行性说明</w:t>
      </w:r>
    </w:p>
    <w:p>
      <w:pPr>
        <w:spacing w:line="580" w:lineRule="exact"/>
        <w:ind w:firstLine="640" w:firstLineChars="200"/>
        <w:jc w:val="left"/>
        <w:rPr>
          <w:rFonts w:ascii="Times New Roman" w:hAnsi="Times New Roman" w:eastAsia="方正小标宋简体" w:cs="Times New Roman"/>
          <w:sz w:val="44"/>
          <w:szCs w:val="44"/>
        </w:rPr>
      </w:pPr>
      <w:r>
        <w:rPr>
          <w:szCs w:val="32"/>
        </w:rPr>
        <w:t>为进一步加强我市城市规划区个人建房的建设管理，提升城市形象，提高城市品质，改善人居环境，促进城市发展，集约节约利用城市土地资源，保证城市规划顺利实施，结合我市实际，经市人民政府研究，决定</w:t>
      </w:r>
      <w:r>
        <w:rPr>
          <w:rFonts w:hint="eastAsia"/>
          <w:szCs w:val="32"/>
          <w:lang w:eastAsia="zh-CN"/>
        </w:rPr>
        <w:t>制定发布本通告，</w:t>
      </w:r>
      <w:r>
        <w:rPr>
          <w:szCs w:val="32"/>
        </w:rPr>
        <w:t>在</w:t>
      </w:r>
      <w:r>
        <w:rPr>
          <w:rFonts w:hint="eastAsia"/>
          <w:szCs w:val="32"/>
          <w:lang w:eastAsia="zh-CN"/>
        </w:rPr>
        <w:t>我市</w:t>
      </w:r>
      <w:r>
        <w:rPr>
          <w:szCs w:val="32"/>
        </w:rPr>
        <w:t>城市规划区划定重点管控区域禁止个人建房。</w:t>
      </w:r>
    </w:p>
    <w:p>
      <w:pPr>
        <w:keepNext w:val="0"/>
        <w:keepLines w:val="0"/>
        <w:pageBreakBefore w:val="0"/>
        <w:numPr>
          <w:ilvl w:val="0"/>
          <w:numId w:val="1"/>
        </w:numPr>
        <w:kinsoku/>
        <w:wordWrap/>
        <w:overflowPunct/>
        <w:topLinePunct w:val="0"/>
        <w:autoSpaceDE/>
        <w:autoSpaceDN/>
        <w:bidi w:val="0"/>
        <w:adjustRightInd/>
        <w:snapToGrid/>
        <w:spacing w:line="520" w:lineRule="exact"/>
        <w:ind w:left="-10" w:leftChars="0" w:firstLine="640" w:firstLineChars="0"/>
        <w:rPr>
          <w:rFonts w:hint="eastAsia" w:ascii="黑体" w:hAnsi="黑体" w:eastAsia="黑体" w:cs="黑体"/>
          <w:color w:val="auto"/>
          <w:sz w:val="32"/>
          <w:szCs w:val="32"/>
          <w:lang w:eastAsia="zh-CN"/>
        </w:rPr>
      </w:pPr>
      <w:r>
        <w:rPr>
          <w:rFonts w:hint="eastAsia" w:ascii="仿宋" w:hAnsi="仿宋" w:eastAsia="仿宋" w:cs="仿宋"/>
          <w:b/>
          <w:bCs/>
          <w:sz w:val="32"/>
          <w:szCs w:val="32"/>
          <w:lang w:eastAsia="zh-CN"/>
        </w:rPr>
        <w:t>制定</w:t>
      </w:r>
      <w:r>
        <w:rPr>
          <w:rFonts w:hint="eastAsia" w:ascii="仿宋" w:hAnsi="仿宋" w:eastAsia="仿宋" w:cs="仿宋"/>
          <w:b/>
          <w:bCs/>
          <w:sz w:val="32"/>
          <w:szCs w:val="32"/>
        </w:rPr>
        <w:t>依据</w:t>
      </w:r>
    </w:p>
    <w:p>
      <w:pPr>
        <w:ind w:firstLine="640" w:firstLineChars="200"/>
        <w:rPr>
          <w:rFonts w:hint="eastAsia" w:ascii="仿宋" w:hAnsi="仿宋" w:eastAsia="仿宋" w:cs="仿宋"/>
          <w:b w:val="0"/>
          <w:bCs/>
          <w:sz w:val="32"/>
          <w:szCs w:val="32"/>
          <w:highlight w:val="none"/>
          <w:lang w:eastAsia="zh-CN"/>
        </w:rPr>
      </w:pPr>
      <w:r>
        <w:rPr>
          <w:rFonts w:hint="eastAsia"/>
          <w:szCs w:val="32"/>
          <w:lang w:eastAsia="zh-CN"/>
        </w:rPr>
        <w:t>市人民政府系</w:t>
      </w:r>
      <w:r>
        <w:rPr>
          <w:szCs w:val="32"/>
        </w:rPr>
        <w:t>根据《中华人民共和国城乡规划法》、《中华人民共和国土地管理法》等法律法规和《汨罗市城市总体规划》、《汨罗市土地利用总体规划》等相关规划</w:t>
      </w:r>
      <w:r>
        <w:rPr>
          <w:rFonts w:hint="eastAsia" w:ascii="仿宋" w:hAnsi="仿宋" w:eastAsia="仿宋" w:cs="仿宋"/>
          <w:b w:val="0"/>
          <w:bCs w:val="0"/>
          <w:color w:val="auto"/>
          <w:sz w:val="32"/>
          <w:szCs w:val="32"/>
          <w:lang w:val="en-US" w:eastAsia="zh-CN"/>
        </w:rPr>
        <w:t>制发的前述通告，</w:t>
      </w:r>
      <w:r>
        <w:rPr>
          <w:rFonts w:hint="eastAsia" w:ascii="仿宋" w:hAnsi="仿宋" w:eastAsia="仿宋" w:cs="仿宋"/>
          <w:b w:val="0"/>
          <w:bCs/>
          <w:sz w:val="32"/>
          <w:szCs w:val="32"/>
          <w:highlight w:val="none"/>
          <w:lang w:eastAsia="zh-CN"/>
        </w:rPr>
        <w:t>制定过程严格按照法定程序，制定主体合法，程序合法，内容合法。</w:t>
      </w:r>
    </w:p>
    <w:p>
      <w:pPr>
        <w:numPr>
          <w:ilvl w:val="0"/>
          <w:numId w:val="1"/>
        </w:numPr>
        <w:ind w:left="-10" w:leftChars="0" w:firstLine="640" w:firstLineChars="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适用范围</w:t>
      </w:r>
    </w:p>
    <w:p>
      <w:pPr>
        <w:widowControl w:val="0"/>
        <w:numPr>
          <w:ilvl w:val="0"/>
          <w:numId w:val="0"/>
        </w:numPr>
        <w:ind w:firstLine="640" w:firstLineChars="200"/>
        <w:jc w:val="both"/>
        <w:rPr>
          <w:rFonts w:hint="eastAsia" w:ascii="Calibri" w:hAnsi="Calibri" w:eastAsia="宋体" w:cs="Times New Roman"/>
          <w:sz w:val="21"/>
        </w:rPr>
      </w:pPr>
      <w:r>
        <w:rPr>
          <w:rFonts w:hint="eastAsia" w:ascii="Times New Roman" w:hAnsi="Times New Roman" w:cs="Times New Roman"/>
          <w:szCs w:val="32"/>
          <w:lang w:eastAsia="zh-CN"/>
        </w:rPr>
        <w:t>《</w:t>
      </w:r>
      <w:r>
        <w:rPr>
          <w:rFonts w:ascii="Times New Roman" w:hAnsi="Times New Roman" w:cs="Times New Roman"/>
          <w:szCs w:val="32"/>
        </w:rPr>
        <w:t>汨罗市人民政府关于城市规划区重点管控区域禁止个人建房的通告</w:t>
      </w:r>
      <w:r>
        <w:rPr>
          <w:rFonts w:hint="eastAsia" w:ascii="Times New Roman" w:hAnsi="Times New Roman" w:cs="Times New Roman"/>
          <w:szCs w:val="32"/>
          <w:lang w:eastAsia="zh-CN"/>
        </w:rPr>
        <w:t>》</w:t>
      </w:r>
      <w:r>
        <w:rPr>
          <w:rFonts w:hint="eastAsia" w:ascii="仿宋" w:hAnsi="仿宋" w:eastAsia="仿宋" w:cs="仿宋"/>
          <w:b w:val="0"/>
          <w:bCs w:val="0"/>
          <w:color w:val="auto"/>
          <w:sz w:val="32"/>
          <w:szCs w:val="32"/>
        </w:rPr>
        <w:t>自</w:t>
      </w:r>
      <w:r>
        <w:rPr>
          <w:rFonts w:hint="eastAsia" w:ascii="仿宋" w:hAnsi="仿宋" w:eastAsia="仿宋" w:cs="仿宋"/>
          <w:b w:val="0"/>
          <w:bCs w:val="0"/>
          <w:color w:val="auto"/>
          <w:sz w:val="32"/>
          <w:szCs w:val="32"/>
          <w:lang w:eastAsia="zh-CN"/>
        </w:rPr>
        <w:t>发</w:t>
      </w:r>
      <w:r>
        <w:rPr>
          <w:rFonts w:hint="eastAsia" w:ascii="仿宋" w:hAnsi="仿宋" w:eastAsia="仿宋" w:cs="仿宋"/>
          <w:color w:val="auto"/>
          <w:sz w:val="32"/>
          <w:szCs w:val="32"/>
        </w:rPr>
        <w:t>布之日起</w:t>
      </w:r>
      <w:r>
        <w:rPr>
          <w:rFonts w:hint="eastAsia" w:ascii="仿宋" w:hAnsi="仿宋" w:eastAsia="仿宋" w:cs="仿宋"/>
          <w:b w:val="0"/>
          <w:bCs w:val="0"/>
          <w:color w:val="auto"/>
          <w:sz w:val="32"/>
          <w:szCs w:val="32"/>
          <w:lang w:eastAsia="zh-CN"/>
        </w:rPr>
        <w:t>在全市范围内</w:t>
      </w:r>
      <w:r>
        <w:rPr>
          <w:rFonts w:hint="eastAsia" w:ascii="仿宋" w:hAnsi="仿宋" w:eastAsia="仿宋" w:cs="仿宋"/>
          <w:b w:val="0"/>
          <w:bCs w:val="0"/>
          <w:color w:val="auto"/>
          <w:sz w:val="32"/>
          <w:szCs w:val="32"/>
        </w:rPr>
        <w:t>执行</w:t>
      </w:r>
      <w:r>
        <w:rPr>
          <w:rFonts w:hint="eastAsia" w:ascii="仿宋" w:hAnsi="仿宋" w:eastAsia="仿宋" w:cs="仿宋"/>
          <w:color w:val="auto"/>
          <w:sz w:val="32"/>
          <w:szCs w:val="32"/>
        </w:rPr>
        <w:t>，有效期</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五年</w:t>
      </w:r>
      <w:r>
        <w:rPr>
          <w:rFonts w:hint="eastAsia" w:ascii="仿宋" w:hAnsi="仿宋" w:eastAsia="仿宋" w:cs="仿宋"/>
          <w:color w:val="auto"/>
          <w:sz w:val="32"/>
          <w:szCs w:val="32"/>
          <w:lang w:eastAsia="zh-CN"/>
        </w:rPr>
        <w:t>。</w:t>
      </w:r>
    </w:p>
    <w:p>
      <w:pPr>
        <w:widowControl w:val="0"/>
        <w:ind w:firstLine="643" w:firstLineChars="200"/>
        <w:jc w:val="both"/>
        <w:rPr>
          <w:rFonts w:hint="eastAsia" w:ascii="Calibri" w:hAnsi="Calibri" w:eastAsia="宋体" w:cs="Times New Roman"/>
          <w:kern w:val="2"/>
          <w:sz w:val="21"/>
          <w:szCs w:val="24"/>
          <w:lang w:val="en-US" w:eastAsia="zh-CN" w:bidi="ar-SA"/>
        </w:rPr>
      </w:pPr>
      <w:r>
        <w:rPr>
          <w:rFonts w:hint="eastAsia" w:ascii="仿宋" w:hAnsi="仿宋" w:eastAsia="仿宋" w:cs="仿宋"/>
          <w:b/>
          <w:bCs/>
          <w:kern w:val="2"/>
          <w:sz w:val="32"/>
          <w:szCs w:val="32"/>
          <w:lang w:val="en-US" w:eastAsia="zh-CN" w:bidi="ar-SA"/>
        </w:rPr>
        <w:t>四、主要内容</w:t>
      </w:r>
    </w:p>
    <w:p>
      <w:pPr>
        <w:numPr>
          <w:numId w:val="0"/>
        </w:numPr>
        <w:rPr>
          <w:rFonts w:hint="eastAsia" w:ascii="仿宋" w:hAnsi="仿宋" w:eastAsia="仿宋_GB2312"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Times New Roman" w:hAnsi="Times New Roman" w:cs="Times New Roman"/>
          <w:szCs w:val="32"/>
          <w:lang w:eastAsia="zh-CN"/>
        </w:rPr>
        <w:t>《</w:t>
      </w:r>
      <w:r>
        <w:rPr>
          <w:rFonts w:ascii="Times New Roman" w:hAnsi="Times New Roman" w:cs="Times New Roman"/>
          <w:szCs w:val="32"/>
        </w:rPr>
        <w:t>汨罗市人民政府关于城市规划区重点管控区域禁止个人建房的通告</w:t>
      </w:r>
      <w:r>
        <w:rPr>
          <w:rFonts w:hint="eastAsia" w:ascii="Times New Roman" w:hAnsi="Times New Roman" w:cs="Times New Roman"/>
          <w:szCs w:val="32"/>
          <w:lang w:eastAsia="zh-CN"/>
        </w:rPr>
        <w:t>》主要内容一共有十条，第一、二条具体明确了</w:t>
      </w:r>
      <w:r>
        <w:rPr>
          <w:szCs w:val="32"/>
        </w:rPr>
        <w:t>城市规划区重点管控区域范围</w:t>
      </w:r>
      <w:r>
        <w:rPr>
          <w:rFonts w:hint="eastAsia"/>
          <w:szCs w:val="32"/>
          <w:lang w:eastAsia="zh-CN"/>
        </w:rPr>
        <w:t>，重点管控区域又分为</w:t>
      </w:r>
      <w:r>
        <w:rPr>
          <w:szCs w:val="32"/>
        </w:rPr>
        <w:t>禁止建设区范围</w:t>
      </w:r>
      <w:r>
        <w:rPr>
          <w:rFonts w:hint="eastAsia"/>
          <w:szCs w:val="32"/>
          <w:lang w:eastAsia="zh-CN"/>
        </w:rPr>
        <w:t>和</w:t>
      </w:r>
      <w:r>
        <w:rPr>
          <w:szCs w:val="32"/>
        </w:rPr>
        <w:t>严格控制区范围</w:t>
      </w:r>
      <w:r>
        <w:rPr>
          <w:rFonts w:hint="eastAsia"/>
          <w:szCs w:val="32"/>
          <w:lang w:eastAsia="zh-CN"/>
        </w:rPr>
        <w:t>；第三条至第九条规定的是禁建区和严控区关于个人建房必须遵守的一些限制性规定、特殊情况的处理规定以及相关责任单位、责任人的责任规定。第十条规定的是通告的具体实行日期，同时公示了相关举报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9CE33"/>
    <w:multiLevelType w:val="singleLevel"/>
    <w:tmpl w:val="7289CE33"/>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DM5YTI1MWQ0N2E4M2EyOGFkNjdmZDAxMDAwZWUifQ=="/>
  </w:docVars>
  <w:rsids>
    <w:rsidRoot w:val="049A31EF"/>
    <w:rsid w:val="049A3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2024-02-06T09:12:00Z</dcterms:created>
  <dc:creator>高俊</dc:creator>
  <cp:lastModifiedBy>高俊</cp:lastModifiedBy>
  <dcterms:modified xsi:type="dcterms:W3CDTF">2024-02-06T09:39:23Z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F1B8C688BC9E4F4687369FE187417803_11</vt:lpwstr>
  </property>
</Properties>
</file>