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center"/>
        <w:rPr>
          <w:rFonts w:hint="eastAsia" w:ascii="方正小标宋简体" w:hAnsi="方正小标宋简体" w:eastAsia="方正小标宋简体" w:cs="方正小标宋简体"/>
          <w:b w:val="0"/>
          <w:bCs w:val="0"/>
          <w:i w:val="0"/>
          <w:color w:val="auto"/>
          <w:sz w:val="44"/>
          <w:szCs w:val="44"/>
        </w:rPr>
      </w:pPr>
      <w:r>
        <w:rPr>
          <w:rFonts w:hint="eastAsia" w:ascii="方正小标宋简体" w:hAnsi="方正小标宋简体" w:eastAsia="方正小标宋简体" w:cs="方正小标宋简体"/>
          <w:b w:val="0"/>
          <w:bCs w:val="0"/>
          <w:i w:val="0"/>
          <w:color w:val="auto"/>
          <w:sz w:val="44"/>
          <w:szCs w:val="44"/>
        </w:rPr>
        <w:t>卫健局20</w:t>
      </w:r>
      <w:r>
        <w:rPr>
          <w:rFonts w:hint="eastAsia" w:ascii="方正小标宋简体" w:hAnsi="方正小标宋简体" w:eastAsia="方正小标宋简体" w:cs="方正小标宋简体"/>
          <w:b w:val="0"/>
          <w:bCs w:val="0"/>
          <w:i w:val="0"/>
          <w:color w:val="auto"/>
          <w:sz w:val="44"/>
          <w:szCs w:val="44"/>
          <w:lang w:val="en-US" w:eastAsia="zh-CN"/>
        </w:rPr>
        <w:t>22</w:t>
      </w:r>
      <w:r>
        <w:rPr>
          <w:rFonts w:hint="eastAsia" w:ascii="方正小标宋简体" w:hAnsi="方正小标宋简体" w:eastAsia="方正小标宋简体" w:cs="方正小标宋简体"/>
          <w:b w:val="0"/>
          <w:bCs w:val="0"/>
          <w:i w:val="0"/>
          <w:color w:val="auto"/>
          <w:sz w:val="44"/>
          <w:szCs w:val="44"/>
        </w:rPr>
        <w:t>年信息公开年度报告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rPr>
          <w:rFonts w:hint="eastAsia" w:ascii="宋体" w:hAnsi="宋体" w:eastAsia="宋体" w:cs="宋体"/>
          <w:i w:val="0"/>
          <w:caps w:val="0"/>
          <w:color w:val="000000"/>
          <w:spacing w:val="0"/>
          <w:kern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pPr>
      <w:r>
        <w:rPr>
          <w:rFonts w:hint="eastAsia" w:ascii="宋体" w:hAnsi="宋体" w:eastAsia="宋体" w:cs="宋体"/>
          <w:i w:val="0"/>
          <w:caps w:val="0"/>
          <w:color w:val="000000"/>
          <w:spacing w:val="0"/>
          <w:kern w:val="0"/>
          <w:sz w:val="32"/>
          <w:szCs w:val="32"/>
        </w:rPr>
        <w:t>为贯彻落实《中华人民共和国政府信息公开条例》和省、市、县相关规定精神，市卫健局对本单位20</w:t>
      </w:r>
      <w:r>
        <w:rPr>
          <w:rFonts w:hint="eastAsia" w:ascii="宋体" w:hAnsi="宋体" w:eastAsia="宋体" w:cs="宋体"/>
          <w:i w:val="0"/>
          <w:caps w:val="0"/>
          <w:color w:val="000000"/>
          <w:spacing w:val="0"/>
          <w:kern w:val="0"/>
          <w:sz w:val="32"/>
          <w:szCs w:val="32"/>
          <w:lang w:val="en-US" w:eastAsia="zh-CN"/>
        </w:rPr>
        <w:t>22</w:t>
      </w:r>
      <w:r>
        <w:rPr>
          <w:rFonts w:hint="eastAsia" w:ascii="宋体" w:hAnsi="宋体" w:eastAsia="宋体" w:cs="宋体"/>
          <w:i w:val="0"/>
          <w:caps w:val="0"/>
          <w:color w:val="000000"/>
          <w:spacing w:val="0"/>
          <w:kern w:val="0"/>
          <w:sz w:val="32"/>
          <w:szCs w:val="32"/>
        </w:rPr>
        <w:t>年政府信息公开工作情况进行了梳理、统计和总结，并以网络形式向全社会公开。报告所列数据的统计期限自20</w:t>
      </w:r>
      <w:r>
        <w:rPr>
          <w:rFonts w:hint="eastAsia" w:ascii="宋体" w:hAnsi="宋体" w:eastAsia="宋体" w:cs="宋体"/>
          <w:i w:val="0"/>
          <w:caps w:val="0"/>
          <w:color w:val="000000"/>
          <w:spacing w:val="0"/>
          <w:kern w:val="0"/>
          <w:sz w:val="32"/>
          <w:szCs w:val="32"/>
          <w:lang w:val="en-US" w:eastAsia="zh-CN"/>
        </w:rPr>
        <w:t>22</w:t>
      </w:r>
      <w:r>
        <w:rPr>
          <w:rFonts w:hint="eastAsia" w:ascii="宋体" w:hAnsi="宋体" w:eastAsia="宋体" w:cs="宋体"/>
          <w:i w:val="0"/>
          <w:caps w:val="0"/>
          <w:color w:val="000000"/>
          <w:spacing w:val="0"/>
          <w:kern w:val="0"/>
          <w:sz w:val="32"/>
          <w:szCs w:val="32"/>
        </w:rPr>
        <w:t>年1月1日起至20</w:t>
      </w:r>
      <w:r>
        <w:rPr>
          <w:rFonts w:hint="eastAsia" w:ascii="宋体" w:hAnsi="宋体" w:eastAsia="宋体" w:cs="宋体"/>
          <w:i w:val="0"/>
          <w:caps w:val="0"/>
          <w:color w:val="000000"/>
          <w:spacing w:val="0"/>
          <w:kern w:val="0"/>
          <w:sz w:val="32"/>
          <w:szCs w:val="32"/>
          <w:lang w:val="en-US" w:eastAsia="zh-CN"/>
        </w:rPr>
        <w:t>22</w:t>
      </w:r>
      <w:r>
        <w:rPr>
          <w:rFonts w:hint="eastAsia" w:ascii="宋体" w:hAnsi="宋体" w:eastAsia="宋体" w:cs="宋体"/>
          <w:i w:val="0"/>
          <w:caps w:val="0"/>
          <w:color w:val="000000"/>
          <w:spacing w:val="0"/>
          <w:kern w:val="0"/>
          <w:sz w:val="32"/>
          <w:szCs w:val="32"/>
        </w:rPr>
        <w:t>年12月31日止。如对本年度报告有疑问，请联系市卫生健康局办公室（电话：0730-5222886）。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pPr>
      <w:r>
        <w:rPr>
          <w:rFonts w:ascii="黑体" w:hAnsi="宋体" w:eastAsia="黑体" w:cs="黑体"/>
          <w:i w:val="0"/>
          <w:caps w:val="0"/>
          <w:color w:val="000000"/>
          <w:spacing w:val="0"/>
          <w:kern w:val="0"/>
          <w:sz w:val="32"/>
          <w:szCs w:val="32"/>
        </w:rPr>
        <w:t>一、概述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pPr>
      <w:r>
        <w:rPr>
          <w:rFonts w:hint="eastAsia" w:ascii="宋体" w:hAnsi="宋体" w:eastAsia="宋体" w:cs="宋体"/>
          <w:i w:val="0"/>
          <w:caps w:val="0"/>
          <w:color w:val="000000"/>
          <w:spacing w:val="0"/>
          <w:kern w:val="0"/>
          <w:sz w:val="32"/>
          <w:szCs w:val="32"/>
        </w:rPr>
        <w:t>根据《中华人民共和国政府信息公开条例》要求，我局成立了由局长担任组长、分管领导为副组长、各股室长为成员的“汨罗市卫生健康局政务公开和政府信息公开工作领导小组”，配备了1名兼职工作人员。截至</w:t>
      </w:r>
      <w:r>
        <w:rPr>
          <w:rFonts w:hint="eastAsia" w:ascii="宋体" w:hAnsi="宋体" w:eastAsia="宋体" w:cs="宋体"/>
          <w:i w:val="0"/>
          <w:caps w:val="0"/>
          <w:color w:val="000000"/>
          <w:spacing w:val="0"/>
          <w:kern w:val="0"/>
          <w:sz w:val="32"/>
          <w:szCs w:val="32"/>
          <w:lang w:eastAsia="zh-CN"/>
        </w:rPr>
        <w:t>202</w:t>
      </w:r>
      <w:r>
        <w:rPr>
          <w:rFonts w:hint="eastAsia" w:ascii="宋体" w:hAnsi="宋体" w:eastAsia="宋体" w:cs="宋体"/>
          <w:i w:val="0"/>
          <w:caps w:val="0"/>
          <w:color w:val="000000"/>
          <w:spacing w:val="0"/>
          <w:kern w:val="0"/>
          <w:sz w:val="32"/>
          <w:szCs w:val="32"/>
          <w:lang w:val="en-US" w:eastAsia="zh-CN"/>
        </w:rPr>
        <w:t>2</w:t>
      </w:r>
      <w:r>
        <w:rPr>
          <w:rFonts w:hint="eastAsia" w:ascii="宋体" w:hAnsi="宋体" w:eastAsia="宋体" w:cs="宋体"/>
          <w:i w:val="0"/>
          <w:caps w:val="0"/>
          <w:color w:val="000000"/>
          <w:spacing w:val="0"/>
          <w:kern w:val="0"/>
          <w:sz w:val="32"/>
          <w:szCs w:val="32"/>
        </w:rPr>
        <w:t>年底，我局政府信息公开工作运行正常，政府信息公开咨询、申请以及答复工作均顺利开展。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pPr>
      <w:r>
        <w:rPr>
          <w:rFonts w:hint="eastAsia" w:ascii="宋体" w:hAnsi="宋体" w:eastAsia="宋体" w:cs="宋体"/>
          <w:i w:val="0"/>
          <w:caps w:val="0"/>
          <w:color w:val="000000"/>
          <w:spacing w:val="0"/>
          <w:kern w:val="0"/>
          <w:sz w:val="32"/>
          <w:szCs w:val="32"/>
        </w:rPr>
        <w:t>（一）政府信息公开工作组织领导不断加强。我局高度重视政府信息公开工作，年初，结合人员岗位变动和工作实际，及时调整充实了政府信息公开工作领导小组成员和工作人员，严格实行“一把手”负总责、办公室负专责、相关股室各负其责的责任制，形成“领导亲自抓、办公室具体管、相关股室配合做”的工作机制，政府信息公开工作的各项任务落到了实处。把政府信息公开工作列入日常工作，纳入股室年度考核目标，定期对相关人员进行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pPr>
      <w:r>
        <w:rPr>
          <w:rFonts w:hint="eastAsia" w:ascii="宋体" w:hAnsi="宋体" w:eastAsia="宋体" w:cs="宋体"/>
          <w:i w:val="0"/>
          <w:caps w:val="0"/>
          <w:color w:val="000000"/>
          <w:spacing w:val="0"/>
          <w:kern w:val="0"/>
          <w:sz w:val="32"/>
          <w:szCs w:val="32"/>
        </w:rPr>
        <w:t>（二）政府信息公开工作机制不断健全。坚持以制度建设推动政府信息公开工作深入发展，以完善工作机制确保各项工作取得实效。根据工作中遇到的实际情况和问题，进一步修订完善了《汨罗市卫生健康局政府信息公开指南》、《汨罗市卫生健康局政府信息公开目录》和《汨罗市卫生健康局政府信息公开工作方案》，并建立了一系列配套管理制度。从建立健全政府信息发布、协调、保密审查机制、规范依申请公开流程上对我局的政务公开工作提出了明确要求。分管领导坚持每季度听取一次政府信息公开工作情况汇报，及时解决工作中遇到的困难和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pPr>
      <w:r>
        <w:rPr>
          <w:rFonts w:hint="eastAsia" w:ascii="宋体" w:hAnsi="宋体" w:eastAsia="宋体" w:cs="宋体"/>
          <w:i w:val="0"/>
          <w:caps w:val="0"/>
          <w:color w:val="000000"/>
          <w:spacing w:val="0"/>
          <w:kern w:val="0"/>
          <w:sz w:val="32"/>
          <w:szCs w:val="32"/>
        </w:rPr>
        <w:t>（三）政府信息公开重点内容不断推向深入。我们按照《中华人民共和国政府信息公开条例》的要求和其他相关规定，定期对我局的各类信息进行梳理，划分类别，修订完善《信息公开指南》、《信息公开目录》，及时更新公开的内容，编制、上报并及时对外发布政府信息公开工作年度报告。同时，结合部门实际，坚持立足日常业务工作推进政府信息公开，以政府信息公开推进日常业务工作，把政府信息公开工作与规范化服务型政府建设、综合改革新机制建设、民主评议行风建设等有机结合。开通阳光服务热线，以信息公开带动“阳光管理”，以民主评议推动“阳光服务”，以社会监督保障“阳光维权”，做到经常性工作定期公开、阶段性工作逐段公开、临时性工作随时公开，积极优化便民服务，确保信息公开工作稳步向前推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pPr>
      <w:r>
        <w:rPr>
          <w:rFonts w:hint="eastAsia" w:ascii="宋体" w:hAnsi="宋体" w:eastAsia="宋体" w:cs="宋体"/>
          <w:i w:val="0"/>
          <w:caps w:val="0"/>
          <w:color w:val="000000"/>
          <w:spacing w:val="0"/>
          <w:kern w:val="0"/>
          <w:sz w:val="32"/>
          <w:szCs w:val="32"/>
        </w:rPr>
        <w:t>（四）政府信息公开渠道不断拓宽。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pPr>
      <w:r>
        <w:rPr>
          <w:rFonts w:hint="eastAsia" w:ascii="宋体" w:hAnsi="宋体" w:eastAsia="宋体" w:cs="宋体"/>
          <w:i w:val="0"/>
          <w:caps w:val="0"/>
          <w:color w:val="000000"/>
          <w:spacing w:val="0"/>
          <w:kern w:val="0"/>
          <w:sz w:val="32"/>
          <w:szCs w:val="32"/>
        </w:rPr>
        <w:t>1、拓展政府信息公开渠道。利用信息化手段拓展信息公开形式，丰富公开渠道，以现代方法和传统方法相结合，突出显现政府网站在政府信息公开中的重要地位，采用上网、上墙、上广播电视等多种方式，对重大决策和与社会公众密切相关的重要事项做到及时向社会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pPr>
      <w:r>
        <w:rPr>
          <w:rFonts w:hint="eastAsia" w:ascii="宋体" w:hAnsi="宋体" w:eastAsia="宋体" w:cs="宋体"/>
          <w:i w:val="0"/>
          <w:caps w:val="0"/>
          <w:color w:val="000000"/>
          <w:spacing w:val="0"/>
          <w:kern w:val="0"/>
          <w:sz w:val="32"/>
          <w:szCs w:val="32"/>
        </w:rPr>
        <w:t>2、推动政府信息公开向基层延伸。我们统一布置、统一要求、统一培训，对照管理类与服务类规范要求，不断完善办事公开指南和公开目录，规范公开栏目和内容。要求各乡（镇）办利用电子显示屏、公开橱窗、便民资料等，对与公众密切相关的计生政策宣传、生殖健康、避孕节育、流动人口计生服务等公共服务管理重大事项进行及时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pPr>
      <w:r>
        <w:rPr>
          <w:rFonts w:hint="eastAsia" w:ascii="黑体" w:hAnsi="宋体" w:eastAsia="黑体" w:cs="黑体"/>
          <w:i w:val="0"/>
          <w:caps w:val="0"/>
          <w:color w:val="000000"/>
          <w:spacing w:val="0"/>
          <w:kern w:val="0"/>
          <w:sz w:val="32"/>
          <w:szCs w:val="32"/>
        </w:rPr>
        <w:t>二、公开政府信息情况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pPr>
      <w:r>
        <w:rPr>
          <w:rFonts w:hint="eastAsia" w:ascii="宋体" w:hAnsi="宋体" w:eastAsia="宋体" w:cs="宋体"/>
          <w:i w:val="0"/>
          <w:caps w:val="0"/>
          <w:color w:val="000000"/>
          <w:spacing w:val="0"/>
          <w:kern w:val="0"/>
          <w:sz w:val="32"/>
          <w:szCs w:val="32"/>
        </w:rPr>
        <w:t>（一）主动公开信息情况。</w:t>
      </w:r>
    </w:p>
    <w:tbl>
      <w:tblPr>
        <w:tblStyle w:val="6"/>
        <w:tblW w:w="8140" w:type="dxa"/>
        <w:jc w:val="center"/>
        <w:shd w:val="clear" w:color="auto" w:fill="auto"/>
        <w:tblLayout w:type="autofit"/>
        <w:tblCellMar>
          <w:top w:w="15" w:type="dxa"/>
          <w:left w:w="15" w:type="dxa"/>
          <w:bottom w:w="15" w:type="dxa"/>
          <w:right w:w="15" w:type="dxa"/>
        </w:tblCellMar>
      </w:tblPr>
      <w:tblGrid>
        <w:gridCol w:w="3113"/>
        <w:gridCol w:w="1875"/>
        <w:gridCol w:w="6"/>
        <w:gridCol w:w="1265"/>
        <w:gridCol w:w="1881"/>
      </w:tblGrid>
      <w:tr>
        <w:tblPrEx>
          <w:shd w:val="clear" w:color="auto" w:fill="auto"/>
          <w:tblCellMar>
            <w:top w:w="15" w:type="dxa"/>
            <w:left w:w="15" w:type="dxa"/>
            <w:bottom w:w="15" w:type="dxa"/>
            <w:right w:w="15"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第二十条第（一）项</w:t>
            </w:r>
          </w:p>
        </w:tc>
      </w:tr>
      <w:tr>
        <w:tblPrEx>
          <w:shd w:val="clear" w:color="auto" w:fill="auto"/>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本年新</w:t>
            </w:r>
            <w:r>
              <w:rPr>
                <w:rFonts w:hint="eastAsia" w:ascii="宋体" w:hAnsi="宋体" w:eastAsia="宋体" w:cs="宋体"/>
                <w:i w:val="0"/>
                <w:color w:val="000000"/>
                <w:kern w:val="0"/>
                <w:sz w:val="20"/>
                <w:szCs w:val="20"/>
                <w:lang w:val="en-US" w:eastAsia="zh-CN" w:bidi="ar"/>
              </w:rPr>
              <w:br w:type="textWrapping"/>
            </w:r>
            <w:r>
              <w:rPr>
                <w:rFonts w:ascii="Calibri" w:hAnsi="Calibri" w:eastAsia="宋体" w:cs="Calibri"/>
                <w:i w:val="0"/>
                <w:color w:val="000000"/>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本年新</w:t>
            </w:r>
            <w:r>
              <w:rPr>
                <w:rFonts w:hint="eastAsia" w:ascii="宋体" w:hAnsi="宋体" w:eastAsia="宋体" w:cs="宋体"/>
                <w:i w:val="0"/>
                <w:color w:val="000000"/>
                <w:kern w:val="0"/>
                <w:sz w:val="20"/>
                <w:szCs w:val="20"/>
                <w:lang w:val="en-US" w:eastAsia="zh-CN" w:bidi="ar"/>
              </w:rPr>
              <w:br w:type="textWrapping"/>
            </w:r>
            <w:r>
              <w:rPr>
                <w:rFonts w:hint="default" w:ascii="Calibri" w:hAnsi="Calibri" w:eastAsia="宋体" w:cs="Calibri"/>
                <w:i w:val="0"/>
                <w:color w:val="000000"/>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对外公开总数量</w:t>
            </w:r>
          </w:p>
        </w:tc>
      </w:tr>
      <w:tr>
        <w:tblPrEx>
          <w:shd w:val="clear" w:color="auto" w:fill="auto"/>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shd w:val="clear" w:color="auto" w:fill="auto"/>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1"/>
                <w:szCs w:val="21"/>
                <w:lang w:val="en-US" w:eastAsia="zh-CN" w:bidi="ar"/>
              </w:rPr>
              <w:t>0</w:t>
            </w:r>
          </w:p>
        </w:tc>
        <w:tc>
          <w:tcPr>
            <w:tcW w:w="1271"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1"/>
                <w:szCs w:val="21"/>
                <w:lang w:val="en-US" w:eastAsia="zh-CN" w:bidi="ar"/>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1"/>
                <w:szCs w:val="21"/>
                <w:lang w:val="en-US" w:eastAsia="zh-CN" w:bidi="ar"/>
              </w:rPr>
              <w:t>0</w:t>
            </w:r>
          </w:p>
        </w:tc>
      </w:tr>
      <w:tr>
        <w:tblPrEx>
          <w:shd w:val="clear" w:color="auto" w:fill="auto"/>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第二十条第（五）项</w:t>
            </w:r>
          </w:p>
        </w:tc>
      </w:tr>
      <w:tr>
        <w:tblPrEx>
          <w:shd w:val="clear" w:color="auto" w:fill="auto"/>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处理决定数量</w:t>
            </w:r>
          </w:p>
        </w:tc>
      </w:tr>
      <w:tr>
        <w:tblPrEx>
          <w:shd w:val="clear" w:color="auto" w:fill="auto"/>
          <w:tblCellMar>
            <w:top w:w="15" w:type="dxa"/>
            <w:left w:w="15" w:type="dxa"/>
            <w:bottom w:w="15" w:type="dxa"/>
            <w:right w:w="15"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lang w:val="en-US"/>
              </w:rPr>
            </w:pPr>
            <w:r>
              <w:rPr>
                <w:rFonts w:hint="eastAsia" w:ascii="宋体" w:hAnsi="宋体" w:eastAsia="宋体" w:cs="宋体"/>
                <w:i w:val="0"/>
                <w:color w:val="000000"/>
                <w:kern w:val="0"/>
                <w:sz w:val="20"/>
                <w:szCs w:val="20"/>
                <w:lang w:val="en-US" w:eastAsia="zh-CN" w:bidi="ar"/>
              </w:rPr>
              <w:t>3</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lang w:val="en-US"/>
              </w:rPr>
            </w:pPr>
            <w:r>
              <w:rPr>
                <w:rFonts w:hint="eastAsia" w:ascii="宋体" w:hAnsi="宋体" w:eastAsia="宋体" w:cs="宋体"/>
                <w:i w:val="0"/>
                <w:color w:val="000000"/>
                <w:kern w:val="0"/>
                <w:sz w:val="20"/>
                <w:szCs w:val="20"/>
                <w:lang w:val="en-US" w:eastAsia="zh-CN" w:bidi="ar"/>
              </w:rPr>
              <w:t>3</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shd w:val="clear" w:color="auto" w:fill="auto"/>
          <w:tblCellMar>
            <w:top w:w="15" w:type="dxa"/>
            <w:left w:w="15" w:type="dxa"/>
            <w:bottom w:w="15" w:type="dxa"/>
            <w:right w:w="15"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shd w:val="clear" w:color="auto" w:fill="auto"/>
          <w:tblCellMar>
            <w:top w:w="15" w:type="dxa"/>
            <w:left w:w="15" w:type="dxa"/>
            <w:bottom w:w="15" w:type="dxa"/>
            <w:right w:w="15"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第二十条第（六）项</w:t>
            </w:r>
          </w:p>
        </w:tc>
      </w:tr>
      <w:tr>
        <w:tblPrEx>
          <w:shd w:val="clear" w:color="auto" w:fill="auto"/>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处理决定数量</w:t>
            </w:r>
          </w:p>
        </w:tc>
      </w:tr>
      <w:tr>
        <w:tblPrEx>
          <w:shd w:val="clear" w:color="auto" w:fill="auto"/>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lang w:val="en-US"/>
              </w:rPr>
            </w:pPr>
            <w:r>
              <w:rPr>
                <w:rFonts w:hint="eastAsia" w:ascii="宋体" w:hAnsi="宋体" w:eastAsia="宋体" w:cs="宋体"/>
                <w:i w:val="0"/>
                <w:color w:val="000000"/>
                <w:kern w:val="0"/>
                <w:sz w:val="20"/>
                <w:szCs w:val="20"/>
                <w:lang w:val="en-US" w:eastAsia="zh-CN" w:bidi="ar"/>
              </w:rPr>
              <w:t>17</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lang w:val="en-US"/>
              </w:rPr>
            </w:pPr>
            <w:r>
              <w:rPr>
                <w:rFonts w:hint="eastAsia" w:ascii="宋体" w:hAnsi="宋体" w:eastAsia="宋体" w:cs="宋体"/>
                <w:i w:val="0"/>
                <w:color w:val="000000"/>
                <w:kern w:val="0"/>
                <w:sz w:val="20"/>
                <w:szCs w:val="20"/>
                <w:lang w:val="en-US" w:eastAsia="zh-CN" w:bidi="ar"/>
              </w:rPr>
              <w:t>26</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shd w:val="clear" w:color="auto" w:fill="auto"/>
          <w:tblCellMar>
            <w:top w:w="15" w:type="dxa"/>
            <w:left w:w="15" w:type="dxa"/>
            <w:bottom w:w="15" w:type="dxa"/>
            <w:right w:w="15"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第二十条第（八）项</w:t>
            </w:r>
          </w:p>
        </w:tc>
      </w:tr>
      <w:tr>
        <w:tblPrEx>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本年增/减</w:t>
            </w:r>
          </w:p>
        </w:tc>
      </w:tr>
      <w:tr>
        <w:tblPrEx>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CellMar>
            <w:top w:w="15" w:type="dxa"/>
            <w:left w:w="15" w:type="dxa"/>
            <w:bottom w:w="15" w:type="dxa"/>
            <w:right w:w="15"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第二十条第（九）项</w:t>
            </w:r>
          </w:p>
        </w:tc>
      </w:tr>
      <w:tr>
        <w:tblPrEx>
          <w:shd w:val="clear" w:color="auto" w:fill="auto"/>
          <w:tblCellMar>
            <w:top w:w="15" w:type="dxa"/>
            <w:left w:w="15" w:type="dxa"/>
            <w:bottom w:w="15" w:type="dxa"/>
            <w:right w:w="15"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采购总金额</w:t>
            </w:r>
          </w:p>
        </w:tc>
      </w:tr>
      <w:tr>
        <w:tblPrEx>
          <w:shd w:val="clear" w:color="auto" w:fill="auto"/>
          <w:tblCellMar>
            <w:top w:w="15" w:type="dxa"/>
            <w:left w:w="15" w:type="dxa"/>
            <w:bottom w:w="15" w:type="dxa"/>
            <w:right w:w="15"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b w:val="0"/>
                <w:i w:val="0"/>
                <w:caps w:val="0"/>
                <w:color w:val="000000"/>
                <w:spacing w:val="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1"/>
                <w:szCs w:val="21"/>
                <w:lang w:val="en-US" w:eastAsia="zh-CN" w:bidi="ar"/>
              </w:rPr>
              <w:t>0</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0"/>
              <w:jc w:val="center"/>
            </w:pPr>
            <w:r>
              <w:rPr>
                <w:rFonts w:ascii="Segoe UI" w:hAnsi="Segoe UI" w:eastAsia="Segoe UI" w:cs="Segoe UI"/>
                <w:b w:val="0"/>
                <w:i w:val="0"/>
                <w:caps w:val="0"/>
                <w:color w:val="000000"/>
                <w:spacing w:val="0"/>
                <w:kern w:val="0"/>
                <w:sz w:val="21"/>
                <w:szCs w:val="21"/>
                <w:lang w:val="en-US" w:eastAsia="zh-CN" w:bidi="ar"/>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pPr>
      <w:r>
        <w:rPr>
          <w:rFonts w:hint="eastAsia" w:ascii="宋体" w:hAnsi="宋体" w:eastAsia="宋体" w:cs="宋体"/>
          <w:i w:val="0"/>
          <w:caps w:val="0"/>
          <w:color w:val="000000"/>
          <w:spacing w:val="0"/>
          <w:kern w:val="0"/>
          <w:sz w:val="32"/>
          <w:szCs w:val="32"/>
          <w:lang w:eastAsia="zh-CN"/>
        </w:rPr>
        <w:t>202</w:t>
      </w:r>
      <w:r>
        <w:rPr>
          <w:rFonts w:hint="eastAsia" w:ascii="宋体" w:hAnsi="宋体" w:eastAsia="宋体" w:cs="宋体"/>
          <w:i w:val="0"/>
          <w:caps w:val="0"/>
          <w:color w:val="000000"/>
          <w:spacing w:val="0"/>
          <w:kern w:val="0"/>
          <w:sz w:val="32"/>
          <w:szCs w:val="32"/>
          <w:lang w:val="en-US" w:eastAsia="zh-CN"/>
        </w:rPr>
        <w:t>2</w:t>
      </w:r>
      <w:r>
        <w:rPr>
          <w:rFonts w:hint="eastAsia" w:ascii="宋体" w:hAnsi="宋体" w:eastAsia="宋体" w:cs="宋体"/>
          <w:i w:val="0"/>
          <w:caps w:val="0"/>
          <w:color w:val="000000"/>
          <w:spacing w:val="0"/>
          <w:kern w:val="0"/>
          <w:sz w:val="32"/>
          <w:szCs w:val="32"/>
        </w:rPr>
        <w:t>年，我局坚持“公开为原则、不公开为例外”，积极做好主动公开工作，通过市政府门户网站、市卫生健康局门户网站、新闻媒体等形式公开信息</w:t>
      </w:r>
      <w:r>
        <w:rPr>
          <w:rFonts w:hint="eastAsia" w:ascii="宋体" w:hAnsi="宋体" w:eastAsia="宋体" w:cs="宋体"/>
          <w:i w:val="0"/>
          <w:caps w:val="0"/>
          <w:color w:val="000000"/>
          <w:spacing w:val="0"/>
          <w:kern w:val="0"/>
          <w:sz w:val="32"/>
          <w:szCs w:val="32"/>
          <w:lang w:val="en-US" w:eastAsia="zh-CN"/>
        </w:rPr>
        <w:t>2</w:t>
      </w:r>
      <w:bookmarkStart w:id="0" w:name="_GoBack"/>
      <w:bookmarkEnd w:id="0"/>
      <w:r>
        <w:rPr>
          <w:rFonts w:hint="eastAsia" w:ascii="宋体" w:hAnsi="宋体" w:eastAsia="宋体" w:cs="宋体"/>
          <w:i w:val="0"/>
          <w:caps w:val="0"/>
          <w:color w:val="000000"/>
          <w:spacing w:val="0"/>
          <w:kern w:val="0"/>
          <w:sz w:val="32"/>
          <w:szCs w:val="32"/>
          <w:lang w:val="en-US" w:eastAsia="zh-CN"/>
        </w:rPr>
        <w:t>00</w:t>
      </w:r>
      <w:r>
        <w:rPr>
          <w:rFonts w:hint="eastAsia" w:ascii="宋体" w:hAnsi="宋体" w:eastAsia="宋体" w:cs="宋体"/>
          <w:i w:val="0"/>
          <w:caps w:val="0"/>
          <w:color w:val="000000"/>
          <w:spacing w:val="0"/>
          <w:kern w:val="0"/>
          <w:sz w:val="32"/>
          <w:szCs w:val="32"/>
        </w:rPr>
        <w:t>多条。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640"/>
        <w:jc w:val="left"/>
      </w:pPr>
      <w:r>
        <w:rPr>
          <w:rFonts w:hint="eastAsia" w:ascii="宋体" w:hAnsi="宋体" w:eastAsia="宋体" w:cs="宋体"/>
          <w:i w:val="0"/>
          <w:caps w:val="0"/>
          <w:color w:val="000000"/>
          <w:spacing w:val="0"/>
          <w:kern w:val="0"/>
          <w:sz w:val="32"/>
          <w:szCs w:val="32"/>
          <w:shd w:val="clear" w:fill="FFFFFF"/>
          <w:lang w:val="en-US" w:eastAsia="zh-CN" w:bidi="ar"/>
        </w:rPr>
        <w:t>（二）收到和处理政府信息公开申请情况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13"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13"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olor w:val="000000"/>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color w:val="000000"/>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ascii="楷体" w:hAnsi="楷体" w:eastAsia="楷体" w:cs="楷体"/>
                <w:i w:val="0"/>
                <w:color w:val="000000"/>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Calibri" w:hAnsi="Calibri" w:eastAsia="宋体" w:cs="Calibri"/>
                <w:i w:val="0"/>
                <w:color w:val="000000"/>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Calibri" w:hAnsi="Calibri" w:eastAsia="宋体" w:cs="Calibri"/>
                <w:i w:val="0"/>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2940"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Calibri" w:hAnsi="Calibri" w:eastAsia="宋体" w:cs="Calibri"/>
                <w:i w:val="0"/>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Calibri" w:hAnsi="Calibri" w:eastAsia="宋体" w:cs="Calibri"/>
                <w:i w:val="0"/>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5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5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5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2940"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（六）其他处理</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2940"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楷体" w:hAnsi="楷体" w:eastAsia="楷体" w:cs="楷体"/>
                <w:i w:val="0"/>
                <w:color w:val="000000"/>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b w:val="0"/>
                <w:i w:val="0"/>
                <w:caps w:val="0"/>
                <w:color w:val="000000"/>
                <w:spacing w:val="0"/>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r>
              <w:rPr>
                <w:rFonts w:hint="default" w:ascii="Calibri" w:hAnsi="Calibri" w:eastAsia="宋体" w:cs="Calibri"/>
                <w:i w:val="0"/>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640"/>
        <w:jc w:val="left"/>
      </w:pPr>
      <w:r>
        <w:rPr>
          <w:rFonts w:hint="eastAsia" w:ascii="宋体" w:hAnsi="宋体" w:eastAsia="宋体" w:cs="宋体"/>
          <w:i w:val="0"/>
          <w:caps w:val="0"/>
          <w:color w:val="000000"/>
          <w:spacing w:val="0"/>
          <w:kern w:val="0"/>
          <w:sz w:val="32"/>
          <w:szCs w:val="32"/>
          <w:shd w:val="clear" w:fill="FFFFFF"/>
          <w:lang w:val="en-US" w:eastAsia="zh-CN" w:bidi="ar"/>
        </w:rPr>
        <w:t>（三）政府信息公开行政复议、行政诉讼情况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pPr>
      <w:r>
        <w:rPr>
          <w:rFonts w:hint="eastAsia" w:ascii="宋体" w:hAnsi="宋体" w:eastAsia="宋体" w:cs="宋体"/>
          <w:b w:val="0"/>
          <w:i w:val="0"/>
          <w:caps w:val="0"/>
          <w:color w:val="000000"/>
          <w:spacing w:val="0"/>
          <w:kern w:val="0"/>
          <w:sz w:val="24"/>
          <w:szCs w:val="24"/>
          <w:shd w:val="clear" w:fill="FFFFFF"/>
        </w:rPr>
        <w:t xml:space="preserve"> </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60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658"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微软雅黑" w:hAnsi="微软雅黑" w:eastAsia="微软雅黑" w:cs="微软雅黑"/>
                <w:i w:val="0"/>
                <w:color w:val="666666"/>
                <w:sz w:val="21"/>
                <w:szCs w:val="21"/>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i w:val="0"/>
                <w:color w:val="000000"/>
                <w:kern w:val="0"/>
                <w:sz w:val="20"/>
                <w:szCs w:val="20"/>
                <w:lang w:val="en-US" w:eastAsia="zh-CN" w:bidi="ar"/>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pPr>
      <w:r>
        <w:rPr>
          <w:rFonts w:hint="eastAsia" w:ascii="黑体" w:hAnsi="宋体" w:eastAsia="黑体" w:cs="黑体"/>
          <w:i w:val="0"/>
          <w:caps w:val="0"/>
          <w:color w:val="000000"/>
          <w:spacing w:val="0"/>
          <w:kern w:val="0"/>
          <w:sz w:val="32"/>
          <w:szCs w:val="32"/>
        </w:rPr>
        <w:t>三、政府信息公开工作中存在的主要问题及改进措施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pPr>
      <w:r>
        <w:rPr>
          <w:rFonts w:hint="eastAsia" w:ascii="宋体" w:hAnsi="宋体" w:eastAsia="宋体" w:cs="宋体"/>
          <w:i w:val="0"/>
          <w:caps w:val="0"/>
          <w:color w:val="000000"/>
          <w:spacing w:val="0"/>
          <w:kern w:val="0"/>
          <w:sz w:val="32"/>
          <w:szCs w:val="32"/>
        </w:rPr>
        <w:t>（一）主要问题。一是政府信息公开的渠道和形式需进一步深化。需建立更多的便于公众查阅、了解的渠道和形式。二是政府信息公开工作需要进一步规范。因对国务院《条例》法规学习理解程度不够，在实际工作中与《条例》要求有较大差距，主要反映在公开的内容以及应公开和及时公开上存在一些问题，信息公开的数量、质量以及时效性不足。三是监督管理工作需进一步加强。虽然已建立了一系列规范管理政府信息公开工作制度，但因监督管理力度不强，有些管理制度仅流于形式，未能取得实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pPr>
      <w:r>
        <w:rPr>
          <w:rFonts w:hint="eastAsia" w:ascii="宋体" w:hAnsi="宋体" w:eastAsia="宋体" w:cs="宋体"/>
          <w:i w:val="0"/>
          <w:caps w:val="0"/>
          <w:color w:val="000000"/>
          <w:spacing w:val="0"/>
          <w:kern w:val="0"/>
          <w:sz w:val="32"/>
          <w:szCs w:val="32"/>
        </w:rPr>
        <w:t>（二）整改措施。一是进一步建立和创新政府信息公开的渠道和形式。要结合本单位实际、结合信息公开的内容要求，积极创造条件，逐步建立更多的便于公众查询和了解的渠道和形式，切实提高信息公开实效。二是加强宣传、引导和培训工作。要进一步加强国务院《条例》等规章制度的宣传工作，加强对从事信息公开工作业务人员的培训，切实提高业务素质，将政府信息公开工作纳入规范化轨道。三是进一步建章立制，在开展政府信息公开工作监管上加大力度，制定更加完善的配套管理制度，并加强监督、检查和评议工作，把管理制度落到实处、抓出实效，努力形成政府信息公开常态化工作机制，促进信息公开工作规范有序开展。</w:t>
      </w:r>
      <w:r>
        <w:rPr>
          <w:rFonts w:ascii="仿宋" w:hAnsi="仿宋" w:eastAsia="仿宋" w:cs="仿宋"/>
          <w:i w:val="0"/>
          <w:caps w:val="0"/>
          <w:color w:val="666666"/>
          <w:spacing w:val="0"/>
          <w:kern w:val="0"/>
          <w:sz w:val="32"/>
          <w:szCs w:val="32"/>
          <w:shd w:val="clear" w:fill="FFFFFF"/>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Calibri" w:hAnsi="Calibri" w:eastAsia="宋体" w:cs="Times New Roman"/>
          <w:i w:val="0"/>
          <w:color w:val="666666"/>
          <w:kern w:val="2"/>
          <w:sz w:val="21"/>
          <w:szCs w:val="21"/>
          <w:lang w:val="en-US" w:eastAsia="zh-CN" w:bidi="ar"/>
        </w:rPr>
        <w:t xml:space="preserve"> </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MzJkMWI4NDBmMDRkOWQzYzJhZDE1MjE5YWI4YmMifQ=="/>
  </w:docVars>
  <w:rsids>
    <w:rsidRoot w:val="662E76C0"/>
    <w:rsid w:val="13E07AC8"/>
    <w:rsid w:val="276F6CB9"/>
    <w:rsid w:val="2C495D16"/>
    <w:rsid w:val="47F72214"/>
    <w:rsid w:val="569E510B"/>
    <w:rsid w:val="662E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666666"/>
      <w:u w:val="none"/>
    </w:rPr>
  </w:style>
  <w:style w:type="character" w:styleId="9">
    <w:name w:val="Emphasis"/>
    <w:basedOn w:val="7"/>
    <w:qFormat/>
    <w:uiPriority w:val="0"/>
    <w:rPr>
      <w:i/>
    </w:rPr>
  </w:style>
  <w:style w:type="character" w:styleId="10">
    <w:name w:val="HTML Definition"/>
    <w:basedOn w:val="7"/>
    <w:qFormat/>
    <w:uiPriority w:val="0"/>
    <w:rPr>
      <w:i/>
    </w:rPr>
  </w:style>
  <w:style w:type="character" w:styleId="11">
    <w:name w:val="HTML Acronym"/>
    <w:basedOn w:val="7"/>
    <w:qFormat/>
    <w:uiPriority w:val="0"/>
  </w:style>
  <w:style w:type="character" w:styleId="12">
    <w:name w:val="HTML Variable"/>
    <w:basedOn w:val="7"/>
    <w:qFormat/>
    <w:uiPriority w:val="0"/>
    <w:rPr>
      <w:i/>
    </w:rPr>
  </w:style>
  <w:style w:type="character" w:styleId="13">
    <w:name w:val="Hyperlink"/>
    <w:basedOn w:val="7"/>
    <w:qFormat/>
    <w:uiPriority w:val="0"/>
    <w:rPr>
      <w:color w:val="666666"/>
      <w:u w:val="none"/>
    </w:rPr>
  </w:style>
  <w:style w:type="character" w:styleId="14">
    <w:name w:val="HTML Code"/>
    <w:basedOn w:val="7"/>
    <w:qFormat/>
    <w:uiPriority w:val="0"/>
    <w:rPr>
      <w:rFonts w:ascii="Courier New" w:hAnsi="Courier New"/>
      <w:sz w:val="20"/>
    </w:rPr>
  </w:style>
  <w:style w:type="character" w:styleId="15">
    <w:name w:val="HTML Cite"/>
    <w:basedOn w:val="7"/>
    <w:qFormat/>
    <w:uiPriority w:val="0"/>
    <w:rPr>
      <w:i/>
    </w:rPr>
  </w:style>
  <w:style w:type="character" w:customStyle="1" w:styleId="16">
    <w:name w:val="time"/>
    <w:basedOn w:val="7"/>
    <w:qFormat/>
    <w:uiPriority w:val="0"/>
    <w:rPr>
      <w:color w:val="999999"/>
      <w:sz w:val="18"/>
      <w:szCs w:val="18"/>
    </w:rPr>
  </w:style>
  <w:style w:type="character" w:customStyle="1" w:styleId="17">
    <w:name w:val="hover54"/>
    <w:basedOn w:val="7"/>
    <w:qFormat/>
    <w:uiPriority w:val="0"/>
    <w:rPr>
      <w:color w:val="000000"/>
      <w:shd w:val="clear" w:fill="FFFFFF"/>
    </w:rPr>
  </w:style>
  <w:style w:type="character" w:customStyle="1" w:styleId="18">
    <w:name w:val="ld-01"/>
    <w:basedOn w:val="7"/>
    <w:qFormat/>
    <w:uiPriority w:val="0"/>
  </w:style>
  <w:style w:type="character" w:customStyle="1" w:styleId="19">
    <w:name w:val="ld-02"/>
    <w:basedOn w:val="7"/>
    <w:qFormat/>
    <w:uiPriority w:val="0"/>
    <w:rPr>
      <w:b/>
    </w:rPr>
  </w:style>
  <w:style w:type="character" w:customStyle="1" w:styleId="20">
    <w:name w:val="wx-space"/>
    <w:basedOn w:val="7"/>
    <w:qFormat/>
    <w:uiPriority w:val="0"/>
  </w:style>
  <w:style w:type="character" w:customStyle="1" w:styleId="21">
    <w:name w:val="wx-space1"/>
    <w:basedOn w:val="7"/>
    <w:qFormat/>
    <w:uiPriority w:val="0"/>
  </w:style>
  <w:style w:type="character" w:customStyle="1" w:styleId="22">
    <w:name w:val="webshow1"/>
    <w:basedOn w:val="7"/>
    <w:qFormat/>
    <w:uiPriority w:val="0"/>
    <w:rPr>
      <w:vanis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2825</Words>
  <Characters>2876</Characters>
  <Lines>0</Lines>
  <Paragraphs>0</Paragraphs>
  <TotalTime>14</TotalTime>
  <ScaleCrop>false</ScaleCrop>
  <LinksUpToDate>false</LinksUpToDate>
  <CharactersWithSpaces>2998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2020-02-28T02:53:00Z</dcterms:created>
  <dc:creator>贫穷终结者</dc:creator>
  <cp:lastModifiedBy>贫穷终结者</cp:lastModifiedBy>
  <dcterms:modified xsi:type="dcterms:W3CDTF">2023-03-20T00:57:02Z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EBAF09700D7D4B619E665386D2684ABA</vt:lpwstr>
  </property>
</Properties>
</file>