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center"/>
        <w:rPr>
          <w:rFonts w:ascii="微软雅黑" w:hAnsi="微软雅黑" w:eastAsia="微软雅黑" w:cs="微软雅黑"/>
          <w:i w:val="0"/>
          <w:caps w:val="0"/>
          <w:color w:val="333333"/>
          <w:spacing w:val="0"/>
          <w:sz w:val="24"/>
          <w:szCs w:val="24"/>
        </w:rPr>
      </w:pPr>
      <w:r>
        <w:rPr>
          <w:rFonts w:hint="eastAsia" w:ascii="方正小标宋简体" w:hAnsi="方正小标宋简体" w:eastAsia="方正小标宋简体" w:cs="方正小标宋简体"/>
          <w:b/>
          <w:i w:val="0"/>
          <w:caps w:val="0"/>
          <w:color w:val="333333"/>
          <w:spacing w:val="0"/>
          <w:sz w:val="24"/>
          <w:szCs w:val="24"/>
          <w:bdr w:val="none" w:color="auto" w:sz="0" w:space="0"/>
          <w:shd w:val="clear" w:fill="FFFFFF"/>
          <w:lang w:eastAsia="zh-CN"/>
        </w:rPr>
        <w:t>汨罗市</w:t>
      </w:r>
      <w:r>
        <w:rPr>
          <w:rFonts w:ascii="方正小标宋简体" w:hAnsi="方正小标宋简体" w:eastAsia="方正小标宋简体" w:cs="方正小标宋简体"/>
          <w:b/>
          <w:i w:val="0"/>
          <w:caps w:val="0"/>
          <w:color w:val="333333"/>
          <w:spacing w:val="0"/>
          <w:sz w:val="24"/>
          <w:szCs w:val="24"/>
          <w:bdr w:val="none" w:color="auto" w:sz="0" w:space="0"/>
          <w:shd w:val="clear" w:fill="FFFFFF"/>
        </w:rPr>
        <w:t>退役军人事务</w:t>
      </w:r>
      <w:r>
        <w:rPr>
          <w:rFonts w:hint="default" w:ascii="方正小标宋简体" w:hAnsi="方正小标宋简体" w:eastAsia="方正小标宋简体" w:cs="方正小标宋简体"/>
          <w:b/>
          <w:i w:val="0"/>
          <w:caps w:val="0"/>
          <w:color w:val="333333"/>
          <w:spacing w:val="0"/>
          <w:sz w:val="24"/>
          <w:szCs w:val="24"/>
          <w:bdr w:val="none" w:color="auto" w:sz="0" w:space="0"/>
          <w:shd w:val="clear" w:fill="FFFFFF"/>
        </w:rPr>
        <w:t>局权责清单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textAlignment w:val="center"/>
        <w:rPr>
          <w:rFonts w:hint="eastAsia" w:ascii="微软雅黑" w:hAnsi="微软雅黑" w:eastAsia="微软雅黑" w:cs="微软雅黑"/>
          <w:i w:val="0"/>
          <w:caps w:val="0"/>
          <w:color w:val="333333"/>
          <w:spacing w:val="0"/>
          <w:sz w:val="24"/>
          <w:szCs w:val="24"/>
        </w:rPr>
      </w:pPr>
      <w:r>
        <w:rPr>
          <w:rStyle w:val="5"/>
          <w:rFonts w:ascii="黑体" w:hAnsi="宋体" w:eastAsia="黑体" w:cs="黑体"/>
          <w:b/>
          <w:i w:val="0"/>
          <w:caps w:val="0"/>
          <w:color w:val="333333"/>
          <w:spacing w:val="0"/>
          <w:sz w:val="43"/>
          <w:szCs w:val="43"/>
          <w:bdr w:val="none" w:color="auto" w:sz="0" w:space="0"/>
          <w:shd w:val="clear" w:fill="FFFFFF"/>
        </w:rPr>
        <w:t> </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1"/>
        <w:gridCol w:w="731"/>
        <w:gridCol w:w="2550"/>
        <w:gridCol w:w="585"/>
        <w:gridCol w:w="885"/>
        <w:gridCol w:w="6370"/>
        <w:gridCol w:w="733"/>
        <w:gridCol w:w="55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511" w:type="dxa"/>
            <w:tcBorders>
              <w:top w:val="single" w:color="000000" w:sz="6" w:space="0"/>
              <w:left w:val="single" w:color="000000" w:sz="6" w:space="0"/>
              <w:bottom w:val="nil"/>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b w:val="0"/>
                <w:bCs/>
                <w:sz w:val="24"/>
                <w:szCs w:val="24"/>
              </w:rPr>
            </w:pPr>
            <w:r>
              <w:rPr>
                <w:rFonts w:hint="eastAsia" w:ascii="黑体" w:hAnsi="宋体" w:eastAsia="黑体" w:cs="黑体"/>
                <w:b w:val="0"/>
                <w:bCs/>
                <w:sz w:val="21"/>
                <w:szCs w:val="21"/>
                <w:bdr w:val="none" w:color="auto" w:sz="0" w:space="0"/>
              </w:rPr>
              <w:t>序号</w:t>
            </w:r>
          </w:p>
        </w:tc>
        <w:tc>
          <w:tcPr>
            <w:tcW w:w="731" w:type="dxa"/>
            <w:tcBorders>
              <w:top w:val="single" w:color="000000" w:sz="6" w:space="0"/>
              <w:left w:val="nil"/>
              <w:bottom w:val="nil"/>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b w:val="0"/>
                <w:bCs/>
                <w:sz w:val="24"/>
                <w:szCs w:val="24"/>
              </w:rPr>
            </w:pPr>
            <w:r>
              <w:rPr>
                <w:rFonts w:hint="eastAsia" w:ascii="黑体" w:hAnsi="宋体" w:eastAsia="黑体" w:cs="黑体"/>
                <w:b w:val="0"/>
                <w:bCs/>
                <w:sz w:val="21"/>
                <w:szCs w:val="21"/>
                <w:bdr w:val="none" w:color="auto" w:sz="0" w:space="0"/>
              </w:rPr>
              <w:t>权</w:t>
            </w:r>
            <w:r>
              <w:rPr>
                <w:rFonts w:hint="eastAsia" w:ascii="黑体" w:hAnsi="宋体" w:eastAsia="黑体" w:cs="黑体"/>
                <w:b w:val="0"/>
                <w:bCs/>
                <w:sz w:val="21"/>
                <w:szCs w:val="21"/>
                <w:bdr w:val="none" w:color="auto" w:sz="0" w:space="0"/>
                <w:lang w:eastAsia="zh-CN"/>
              </w:rPr>
              <w:t>职</w:t>
            </w:r>
            <w:r>
              <w:rPr>
                <w:rFonts w:hint="eastAsia" w:ascii="黑体" w:hAnsi="宋体" w:eastAsia="黑体" w:cs="黑体"/>
                <w:b w:val="0"/>
                <w:bCs/>
                <w:sz w:val="21"/>
                <w:szCs w:val="21"/>
                <w:bdr w:val="none" w:color="auto" w:sz="0" w:space="0"/>
              </w:rPr>
              <w:t>名称</w:t>
            </w:r>
          </w:p>
        </w:tc>
        <w:tc>
          <w:tcPr>
            <w:tcW w:w="2550" w:type="dxa"/>
            <w:tcBorders>
              <w:top w:val="single" w:color="000000" w:sz="6" w:space="0"/>
              <w:left w:val="nil"/>
              <w:bottom w:val="nil"/>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b w:val="0"/>
                <w:bCs/>
                <w:sz w:val="24"/>
                <w:szCs w:val="24"/>
              </w:rPr>
            </w:pPr>
            <w:r>
              <w:rPr>
                <w:rFonts w:hint="eastAsia" w:ascii="黑体" w:hAnsi="宋体" w:eastAsia="黑体" w:cs="黑体"/>
                <w:b w:val="0"/>
                <w:bCs/>
                <w:sz w:val="21"/>
                <w:szCs w:val="21"/>
                <w:bdr w:val="none" w:color="auto" w:sz="0" w:space="0"/>
                <w:lang w:eastAsia="zh-CN"/>
              </w:rPr>
              <w:t>职</w:t>
            </w:r>
            <w:r>
              <w:rPr>
                <w:rFonts w:hint="eastAsia" w:ascii="黑体" w:hAnsi="宋体" w:eastAsia="黑体" w:cs="黑体"/>
                <w:b w:val="0"/>
                <w:bCs/>
                <w:sz w:val="21"/>
                <w:szCs w:val="21"/>
                <w:bdr w:val="none" w:color="auto" w:sz="0" w:space="0"/>
              </w:rPr>
              <w:t>权依据</w:t>
            </w:r>
          </w:p>
        </w:tc>
        <w:tc>
          <w:tcPr>
            <w:tcW w:w="585" w:type="dxa"/>
            <w:tcBorders>
              <w:top w:val="single" w:color="000000" w:sz="6" w:space="0"/>
              <w:left w:val="nil"/>
              <w:bottom w:val="nil"/>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黑体" w:hAnsi="宋体" w:eastAsia="黑体" w:cs="黑体"/>
                <w:b w:val="0"/>
                <w:bCs/>
                <w:sz w:val="21"/>
                <w:szCs w:val="21"/>
                <w:bdr w:val="none" w:color="auto" w:sz="0" w:space="0"/>
                <w:lang w:eastAsia="zh-CN"/>
              </w:rPr>
            </w:pPr>
            <w:r>
              <w:rPr>
                <w:rFonts w:hint="eastAsia" w:ascii="黑体" w:hAnsi="宋体" w:eastAsia="黑体" w:cs="黑体"/>
                <w:b w:val="0"/>
                <w:bCs/>
                <w:sz w:val="21"/>
                <w:szCs w:val="21"/>
                <w:bdr w:val="none" w:color="auto" w:sz="0" w:space="0"/>
                <w:lang w:eastAsia="zh-CN"/>
              </w:rPr>
              <w:t>职权类型</w:t>
            </w:r>
          </w:p>
        </w:tc>
        <w:tc>
          <w:tcPr>
            <w:tcW w:w="885" w:type="dxa"/>
            <w:tcBorders>
              <w:top w:val="single" w:color="000000" w:sz="6" w:space="0"/>
              <w:left w:val="nil"/>
              <w:bottom w:val="nil"/>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黑体" w:hAnsi="宋体" w:eastAsia="黑体" w:cs="黑体"/>
                <w:b w:val="0"/>
                <w:bCs/>
                <w:sz w:val="21"/>
                <w:szCs w:val="21"/>
                <w:bdr w:val="none" w:color="auto" w:sz="0" w:space="0"/>
                <w:lang w:eastAsia="zh-CN"/>
              </w:rPr>
            </w:pPr>
            <w:r>
              <w:rPr>
                <w:rFonts w:hint="eastAsia" w:ascii="黑体" w:hAnsi="宋体" w:eastAsia="黑体" w:cs="黑体"/>
                <w:b w:val="0"/>
                <w:bCs/>
                <w:sz w:val="21"/>
                <w:szCs w:val="21"/>
                <w:bdr w:val="none" w:color="auto" w:sz="0" w:space="0"/>
                <w:lang w:eastAsia="zh-CN"/>
              </w:rPr>
              <w:t>责任部门</w:t>
            </w:r>
          </w:p>
        </w:tc>
        <w:tc>
          <w:tcPr>
            <w:tcW w:w="6370" w:type="dxa"/>
            <w:tcBorders>
              <w:top w:val="single" w:color="000000" w:sz="6" w:space="0"/>
              <w:left w:val="nil"/>
              <w:bottom w:val="nil"/>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b w:val="0"/>
                <w:bCs/>
                <w:sz w:val="24"/>
                <w:szCs w:val="24"/>
              </w:rPr>
            </w:pPr>
            <w:r>
              <w:rPr>
                <w:rFonts w:hint="eastAsia" w:ascii="黑体" w:hAnsi="宋体" w:eastAsia="黑体" w:cs="黑体"/>
                <w:b w:val="0"/>
                <w:bCs/>
                <w:sz w:val="21"/>
                <w:szCs w:val="21"/>
                <w:bdr w:val="none" w:color="auto" w:sz="0" w:space="0"/>
              </w:rPr>
              <w:t>责任事项</w:t>
            </w:r>
          </w:p>
        </w:tc>
        <w:tc>
          <w:tcPr>
            <w:tcW w:w="733" w:type="dxa"/>
            <w:tcBorders>
              <w:top w:val="single" w:color="000000" w:sz="6" w:space="0"/>
              <w:left w:val="nil"/>
              <w:bottom w:val="nil"/>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b w:val="0"/>
                <w:bCs/>
                <w:sz w:val="24"/>
                <w:szCs w:val="24"/>
              </w:rPr>
            </w:pPr>
            <w:r>
              <w:rPr>
                <w:rFonts w:hint="eastAsia" w:ascii="黑体" w:hAnsi="宋体" w:eastAsia="黑体" w:cs="黑体"/>
                <w:b w:val="0"/>
                <w:bCs/>
                <w:sz w:val="21"/>
                <w:szCs w:val="21"/>
                <w:bdr w:val="none" w:color="auto" w:sz="0" w:space="0"/>
              </w:rPr>
              <w:t>责任事项依据</w:t>
            </w:r>
          </w:p>
        </w:tc>
        <w:tc>
          <w:tcPr>
            <w:tcW w:w="553" w:type="dxa"/>
            <w:tcBorders>
              <w:top w:val="single" w:color="000000" w:sz="6" w:space="0"/>
              <w:left w:val="nil"/>
              <w:bottom w:val="nil"/>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b w:val="0"/>
                <w:bCs/>
                <w:sz w:val="24"/>
                <w:szCs w:val="24"/>
              </w:rPr>
            </w:pPr>
            <w:r>
              <w:rPr>
                <w:rFonts w:hint="eastAsia" w:ascii="黑体" w:hAnsi="宋体" w:eastAsia="黑体" w:cs="黑体"/>
                <w:b w:val="0"/>
                <w:bCs/>
                <w:sz w:val="21"/>
                <w:szCs w:val="21"/>
                <w:bdr w:val="none" w:color="auto" w:sz="0" w:space="0"/>
              </w:rPr>
              <w:t>追责</w:t>
            </w:r>
            <w:r>
              <w:rPr>
                <w:rFonts w:hint="eastAsia" w:ascii="黑体" w:hAnsi="宋体" w:eastAsia="黑体" w:cs="黑体"/>
                <w:b w:val="0"/>
                <w:bCs/>
                <w:sz w:val="21"/>
                <w:szCs w:val="21"/>
                <w:bdr w:val="none" w:color="auto" w:sz="0" w:space="0"/>
                <w:lang w:eastAsia="zh-CN"/>
              </w:rPr>
              <w:t>对象</w:t>
            </w:r>
            <w:r>
              <w:rPr>
                <w:rFonts w:hint="eastAsia" w:ascii="黑体" w:hAnsi="宋体" w:eastAsia="黑体" w:cs="黑体"/>
                <w:b w:val="0"/>
                <w:bCs/>
                <w:sz w:val="21"/>
                <w:szCs w:val="21"/>
                <w:bdr w:val="none" w:color="auto" w:sz="0" w:space="0"/>
              </w:rPr>
              <w:t>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 w:hRule="atLeast"/>
        </w:trPr>
        <w:tc>
          <w:tcPr>
            <w:tcW w:w="511" w:type="dxa"/>
            <w:tcBorders>
              <w:top w:val="single" w:color="000000" w:sz="6" w:space="0"/>
              <w:left w:val="single" w:color="000000" w:sz="6" w:space="0"/>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  1 </w:t>
            </w:r>
          </w:p>
        </w:tc>
        <w:tc>
          <w:tcPr>
            <w:tcW w:w="731" w:type="dxa"/>
            <w:tcBorders>
              <w:top w:val="single" w:color="000000" w:sz="6" w:space="0"/>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1"/>
                <w:szCs w:val="21"/>
              </w:rPr>
            </w:pPr>
            <w:r>
              <w:rPr>
                <w:rFonts w:hint="eastAsia" w:ascii="仿宋" w:hAnsi="仿宋" w:eastAsia="仿宋" w:cs="仿宋"/>
                <w:b w:val="0"/>
                <w:bCs/>
                <w:sz w:val="21"/>
                <w:szCs w:val="21"/>
                <w:bdr w:val="none" w:color="auto" w:sz="0" w:space="0"/>
              </w:rPr>
              <w:t>对《军人抚恤优待条例》第四十八条规定行为的处罚</w:t>
            </w:r>
          </w:p>
        </w:tc>
        <w:tc>
          <w:tcPr>
            <w:tcW w:w="2550" w:type="dxa"/>
            <w:tcBorders>
              <w:top w:val="single" w:color="000000" w:sz="6" w:space="0"/>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textAlignment w:val="center"/>
              <w:rPr>
                <w:rFonts w:hint="eastAsia" w:ascii="仿宋" w:hAnsi="仿宋" w:eastAsia="仿宋" w:cs="仿宋"/>
                <w:b w:val="0"/>
                <w:bCs/>
                <w:sz w:val="21"/>
                <w:szCs w:val="21"/>
              </w:rPr>
            </w:pPr>
            <w:bookmarkStart w:id="0" w:name="48"/>
            <w:r>
              <w:rPr>
                <w:rFonts w:hint="eastAsia" w:ascii="仿宋" w:hAnsi="仿宋" w:eastAsia="仿宋" w:cs="仿宋"/>
                <w:b w:val="0"/>
                <w:bCs/>
                <w:color w:val="222222"/>
                <w:sz w:val="21"/>
                <w:szCs w:val="21"/>
                <w:u w:val="none"/>
                <w:bdr w:val="none" w:color="auto" w:sz="0" w:space="0"/>
              </w:rPr>
              <w:t>《军人抚恤优待条例》</w:t>
            </w:r>
            <w:bookmarkEnd w:id="0"/>
            <w:r>
              <w:rPr>
                <w:rFonts w:hint="eastAsia" w:ascii="仿宋" w:hAnsi="仿宋" w:eastAsia="仿宋" w:cs="仿宋"/>
                <w:b w:val="0"/>
                <w:bCs/>
                <w:sz w:val="21"/>
                <w:szCs w:val="21"/>
                <w:bdr w:val="none" w:color="auto" w:sz="0" w:space="0"/>
              </w:rPr>
              <w:t>（2019年修正）第四十八条　负有军人优待义务的单位不履行优待义务的，由县级人民政府退役军人事务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585" w:type="dxa"/>
            <w:tcBorders>
              <w:top w:val="single" w:color="000000" w:sz="6" w:space="0"/>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1"/>
                <w:szCs w:val="21"/>
                <w:bdr w:val="none" w:color="auto" w:sz="0" w:space="0"/>
              </w:rPr>
            </w:pPr>
            <w:r>
              <w:rPr>
                <w:rFonts w:hint="eastAsia" w:ascii="仿宋" w:hAnsi="仿宋" w:eastAsia="仿宋" w:cs="仿宋"/>
                <w:b w:val="0"/>
                <w:bCs/>
                <w:sz w:val="21"/>
                <w:szCs w:val="21"/>
              </w:rPr>
              <w:t>行政处罚</w:t>
            </w:r>
          </w:p>
        </w:tc>
        <w:tc>
          <w:tcPr>
            <w:tcW w:w="885" w:type="dxa"/>
            <w:tcBorders>
              <w:top w:val="single" w:color="000000" w:sz="6" w:space="0"/>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1"/>
                <w:szCs w:val="21"/>
                <w:bdr w:val="none" w:color="auto" w:sz="0" w:space="0"/>
              </w:rPr>
            </w:pPr>
            <w:r>
              <w:rPr>
                <w:rFonts w:hint="eastAsia" w:ascii="仿宋" w:hAnsi="仿宋" w:eastAsia="仿宋" w:cs="仿宋"/>
                <w:b w:val="0"/>
                <w:bCs/>
                <w:sz w:val="21"/>
                <w:szCs w:val="21"/>
              </w:rPr>
              <w:t>军优抚褒扬纪念股</w:t>
            </w:r>
          </w:p>
        </w:tc>
        <w:tc>
          <w:tcPr>
            <w:tcW w:w="6370" w:type="dxa"/>
            <w:tcBorders>
              <w:top w:val="single" w:color="000000" w:sz="6" w:space="0"/>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1"/>
                <w:szCs w:val="21"/>
              </w:rPr>
            </w:pPr>
            <w:r>
              <w:rPr>
                <w:rFonts w:hint="eastAsia" w:ascii="仿宋" w:hAnsi="仿宋" w:eastAsia="仿宋" w:cs="仿宋"/>
                <w:b w:val="0"/>
                <w:bCs/>
                <w:sz w:val="21"/>
                <w:szCs w:val="21"/>
                <w:bdr w:val="none" w:color="auto" w:sz="0" w:space="0"/>
              </w:rPr>
              <w:t>1.立案责任：对依据监督检查职权或者通过举报、投诉、其他部门移送、上级部门交办等途径发现的违法行为线索，决定是否立案。</w:t>
            </w:r>
            <w:r>
              <w:rPr>
                <w:rFonts w:hint="eastAsia" w:ascii="仿宋" w:hAnsi="仿宋" w:eastAsia="仿宋" w:cs="仿宋"/>
                <w:b w:val="0"/>
                <w:bCs/>
                <w:sz w:val="21"/>
                <w:szCs w:val="21"/>
                <w:bdr w:val="none" w:color="auto" w:sz="0" w:space="0"/>
              </w:rPr>
              <w:br w:type="textWrapping"/>
            </w:r>
            <w:r>
              <w:rPr>
                <w:rFonts w:hint="eastAsia" w:ascii="仿宋" w:hAnsi="仿宋" w:eastAsia="仿宋" w:cs="仿宋"/>
                <w:b w:val="0"/>
                <w:bCs/>
                <w:sz w:val="21"/>
                <w:szCs w:val="21"/>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仿宋" w:hAnsi="仿宋" w:eastAsia="仿宋" w:cs="仿宋"/>
                <w:b w:val="0"/>
                <w:bCs/>
                <w:sz w:val="21"/>
                <w:szCs w:val="21"/>
                <w:bdr w:val="none" w:color="auto" w:sz="0" w:space="0"/>
              </w:rPr>
              <w:br w:type="textWrapping"/>
            </w:r>
            <w:r>
              <w:rPr>
                <w:rFonts w:hint="eastAsia" w:ascii="仿宋" w:hAnsi="仿宋" w:eastAsia="仿宋" w:cs="仿宋"/>
                <w:b w:val="0"/>
                <w:bCs/>
                <w:sz w:val="21"/>
                <w:szCs w:val="21"/>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 w:hAnsi="仿宋" w:eastAsia="仿宋" w:cs="仿宋"/>
                <w:b w:val="0"/>
                <w:bCs/>
                <w:sz w:val="21"/>
                <w:szCs w:val="21"/>
                <w:bdr w:val="none" w:color="auto" w:sz="0" w:space="0"/>
              </w:rPr>
              <w:br w:type="textWrapping"/>
            </w:r>
            <w:r>
              <w:rPr>
                <w:rFonts w:hint="eastAsia" w:ascii="仿宋" w:hAnsi="仿宋" w:eastAsia="仿宋" w:cs="仿宋"/>
                <w:b w:val="0"/>
                <w:bCs/>
                <w:sz w:val="21"/>
                <w:szCs w:val="21"/>
                <w:bdr w:val="none" w:color="auto" w:sz="0" w:space="0"/>
              </w:rPr>
              <w:t>4.告知责任：在作出处罚决定之前，应当告知当事人作出处罚决定的事由、理由及依据，并告知当事人依法享有的权利；当事人依法要求听证的，应组织听证。</w:t>
            </w:r>
            <w:r>
              <w:rPr>
                <w:rFonts w:hint="eastAsia" w:ascii="仿宋" w:hAnsi="仿宋" w:eastAsia="仿宋" w:cs="仿宋"/>
                <w:b w:val="0"/>
                <w:bCs/>
                <w:sz w:val="21"/>
                <w:szCs w:val="21"/>
                <w:bdr w:val="none" w:color="auto" w:sz="0" w:space="0"/>
              </w:rPr>
              <w:br w:type="textWrapping"/>
            </w:r>
            <w:r>
              <w:rPr>
                <w:rFonts w:hint="eastAsia" w:ascii="仿宋" w:hAnsi="仿宋" w:eastAsia="仿宋" w:cs="仿宋"/>
                <w:b w:val="0"/>
                <w:bCs/>
                <w:sz w:val="21"/>
                <w:szCs w:val="21"/>
                <w:bdr w:val="none" w:color="auto" w:sz="0" w:space="0"/>
              </w:rPr>
              <w:t>5.决定责任：依法应当给予行政处罚的，制作盖有行政机关印章的行政处罚决定书，载明违法事实、证据、处罚种类和依据、权利救济途径等内容。</w:t>
            </w:r>
            <w:r>
              <w:rPr>
                <w:rFonts w:hint="eastAsia" w:ascii="仿宋" w:hAnsi="仿宋" w:eastAsia="仿宋" w:cs="仿宋"/>
                <w:b w:val="0"/>
                <w:bCs/>
                <w:sz w:val="21"/>
                <w:szCs w:val="21"/>
                <w:bdr w:val="none" w:color="auto" w:sz="0" w:space="0"/>
              </w:rPr>
              <w:br w:type="textWrapping"/>
            </w:r>
            <w:r>
              <w:rPr>
                <w:rFonts w:hint="eastAsia" w:ascii="仿宋" w:hAnsi="仿宋" w:eastAsia="仿宋" w:cs="仿宋"/>
                <w:b w:val="0"/>
                <w:bCs/>
                <w:sz w:val="21"/>
                <w:szCs w:val="21"/>
                <w:bdr w:val="none" w:color="auto" w:sz="0" w:space="0"/>
              </w:rPr>
              <w:t>6.送达责任：行政处罚决定书在决定后七日内依照民事诉讼法的有关规定送达当事人。</w:t>
            </w:r>
            <w:r>
              <w:rPr>
                <w:rFonts w:hint="eastAsia" w:ascii="仿宋" w:hAnsi="仿宋" w:eastAsia="仿宋" w:cs="仿宋"/>
                <w:b w:val="0"/>
                <w:bCs/>
                <w:sz w:val="21"/>
                <w:szCs w:val="21"/>
                <w:bdr w:val="none" w:color="auto" w:sz="0" w:space="0"/>
              </w:rPr>
              <w:br w:type="textWrapping"/>
            </w:r>
            <w:r>
              <w:rPr>
                <w:rFonts w:hint="eastAsia" w:ascii="仿宋" w:hAnsi="仿宋" w:eastAsia="仿宋" w:cs="仿宋"/>
                <w:b w:val="0"/>
                <w:bCs/>
                <w:sz w:val="21"/>
                <w:szCs w:val="21"/>
                <w:bdr w:val="none" w:color="auto" w:sz="0" w:space="0"/>
              </w:rPr>
              <w:t>7.执行责任：督促当事人履行生效的行政处罚决定，对逾期不履行的，依照《行政强制法》的规定执行。</w:t>
            </w:r>
            <w:r>
              <w:rPr>
                <w:rFonts w:hint="eastAsia" w:ascii="仿宋" w:hAnsi="仿宋" w:eastAsia="仿宋" w:cs="仿宋"/>
                <w:b w:val="0"/>
                <w:bCs/>
                <w:sz w:val="21"/>
                <w:szCs w:val="21"/>
                <w:bdr w:val="none" w:color="auto" w:sz="0" w:space="0"/>
              </w:rPr>
              <w:br w:type="textWrapping"/>
            </w:r>
            <w:r>
              <w:rPr>
                <w:rFonts w:hint="eastAsia" w:ascii="仿宋" w:hAnsi="仿宋" w:eastAsia="仿宋" w:cs="仿宋"/>
                <w:b w:val="0"/>
                <w:bCs/>
                <w:sz w:val="21"/>
                <w:szCs w:val="21"/>
                <w:bdr w:val="none" w:color="auto" w:sz="0" w:space="0"/>
              </w:rPr>
              <w:t>8.法律法规规章文件规定应履行的其他责任。</w:t>
            </w:r>
          </w:p>
        </w:tc>
        <w:tc>
          <w:tcPr>
            <w:tcW w:w="733" w:type="dxa"/>
            <w:tcBorders>
              <w:top w:val="single" w:color="000000" w:sz="6" w:space="0"/>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1"/>
                <w:szCs w:val="21"/>
              </w:rPr>
            </w:pPr>
            <w:r>
              <w:rPr>
                <w:rFonts w:hint="eastAsia" w:ascii="仿宋" w:hAnsi="仿宋" w:eastAsia="仿宋" w:cs="仿宋"/>
                <w:b w:val="0"/>
                <w:bCs/>
                <w:sz w:val="21"/>
                <w:szCs w:val="21"/>
                <w:bdr w:val="none" w:color="auto" w:sz="0" w:space="0"/>
              </w:rPr>
              <w:t>《行政处罚法》第十五、三十一、三十七、三十八、三十九、四十、四十二条。</w:t>
            </w:r>
          </w:p>
        </w:tc>
        <w:tc>
          <w:tcPr>
            <w:tcW w:w="553" w:type="dxa"/>
            <w:tcBorders>
              <w:top w:val="single" w:color="000000" w:sz="6" w:space="0"/>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1"/>
                <w:szCs w:val="21"/>
              </w:rPr>
            </w:pPr>
            <w:r>
              <w:rPr>
                <w:rFonts w:hint="eastAsia" w:ascii="仿宋" w:hAnsi="仿宋" w:eastAsia="仿宋" w:cs="仿宋"/>
                <w:b w:val="0"/>
                <w:bCs/>
                <w:sz w:val="21"/>
                <w:szCs w:val="21"/>
                <w:bdr w:val="none" w:color="auto" w:sz="0" w:space="0"/>
              </w:rPr>
              <w:t>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1"/>
                <w:szCs w:val="21"/>
              </w:rPr>
            </w:pPr>
            <w:r>
              <w:rPr>
                <w:rFonts w:hint="eastAsia" w:ascii="仿宋" w:hAnsi="仿宋" w:eastAsia="仿宋" w:cs="仿宋"/>
                <w:b w:val="0"/>
                <w:bCs/>
                <w:sz w:val="21"/>
                <w:szCs w:val="21"/>
                <w:bdr w:val="none" w:color="auto" w:sz="0" w:space="0"/>
              </w:rPr>
              <w:t>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1"/>
                <w:szCs w:val="21"/>
              </w:rPr>
            </w:pPr>
            <w:r>
              <w:rPr>
                <w:rFonts w:hint="eastAsia" w:ascii="仿宋" w:hAnsi="仿宋" w:eastAsia="仿宋" w:cs="仿宋"/>
                <w:b w:val="0"/>
                <w:bCs/>
                <w:sz w:val="21"/>
                <w:szCs w:val="21"/>
                <w:bdr w:val="none" w:color="auto" w:sz="0" w:space="0"/>
              </w:rPr>
              <w:t>科室负责人、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1"/>
                <w:szCs w:val="21"/>
              </w:rPr>
            </w:pPr>
            <w:r>
              <w:rPr>
                <w:rFonts w:hint="eastAsia" w:ascii="仿宋" w:hAnsi="仿宋" w:eastAsia="仿宋" w:cs="仿宋"/>
                <w:b w:val="0"/>
                <w:bCs/>
                <w:sz w:val="21"/>
                <w:szCs w:val="21"/>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 w:hRule="atLeast"/>
        </w:trPr>
        <w:tc>
          <w:tcPr>
            <w:tcW w:w="511" w:type="dxa"/>
            <w:tcBorders>
              <w:top w:val="nil"/>
              <w:left w:val="single" w:color="000000" w:sz="6" w:space="0"/>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  2 </w:t>
            </w:r>
          </w:p>
        </w:tc>
        <w:tc>
          <w:tcPr>
            <w:tcW w:w="731"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对《军人抚恤优待条例》第四十九条规定行为的处罚</w:t>
            </w:r>
          </w:p>
        </w:tc>
        <w:tc>
          <w:tcPr>
            <w:tcW w:w="2550"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《军人抚恤优待条例》（2019年修正）</w:t>
            </w:r>
            <w:bookmarkStart w:id="1" w:name="49"/>
            <w:r>
              <w:rPr>
                <w:rFonts w:hint="eastAsia" w:ascii="仿宋" w:hAnsi="仿宋" w:eastAsia="仿宋" w:cs="仿宋"/>
                <w:b w:val="0"/>
                <w:bCs/>
                <w:color w:val="222222"/>
                <w:sz w:val="24"/>
                <w:szCs w:val="24"/>
                <w:u w:val="none"/>
                <w:bdr w:val="none" w:color="auto" w:sz="0" w:space="0"/>
              </w:rPr>
              <w:t>　第四十九条</w:t>
            </w:r>
            <w:bookmarkEnd w:id="1"/>
            <w:r>
              <w:rPr>
                <w:rFonts w:hint="eastAsia" w:ascii="仿宋" w:hAnsi="仿宋" w:eastAsia="仿宋" w:cs="仿宋"/>
                <w:b w:val="0"/>
                <w:bCs/>
                <w:sz w:val="24"/>
                <w:szCs w:val="24"/>
                <w:bdr w:val="none" w:color="auto" w:sz="0" w:space="0"/>
              </w:rPr>
              <w:t>　抚恤优待对象有下列行为之一的，由县级人民政府退役军人事务部门给予警告，限期退回非法所得；情节严重的，停止其享受的抚恤、优待；构成犯罪的，依法追究刑事责任：</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　　（一）冒领抚恤金、优待金、补助金的；</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　　（二）虚报病情骗取医药费的；</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　　（三）出具假证明，伪造证件、印章骗取抚恤金、优待金、补助金的。</w:t>
            </w:r>
          </w:p>
        </w:tc>
        <w:tc>
          <w:tcPr>
            <w:tcW w:w="585"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bdr w:val="none" w:color="auto" w:sz="0" w:space="0"/>
              </w:rPr>
            </w:pPr>
            <w:r>
              <w:rPr>
                <w:rFonts w:hint="eastAsia" w:ascii="仿宋" w:hAnsi="仿宋" w:eastAsia="仿宋" w:cs="仿宋"/>
                <w:b w:val="0"/>
                <w:bCs/>
                <w:sz w:val="24"/>
                <w:szCs w:val="24"/>
              </w:rPr>
              <w:t>行政处罚</w:t>
            </w:r>
          </w:p>
        </w:tc>
        <w:tc>
          <w:tcPr>
            <w:tcW w:w="885"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bdr w:val="none" w:color="auto" w:sz="0" w:space="0"/>
              </w:rPr>
            </w:pPr>
            <w:r>
              <w:rPr>
                <w:rFonts w:hint="eastAsia" w:ascii="仿宋" w:hAnsi="仿宋" w:eastAsia="仿宋" w:cs="仿宋"/>
                <w:b w:val="0"/>
                <w:bCs/>
                <w:sz w:val="24"/>
                <w:szCs w:val="24"/>
              </w:rPr>
              <w:t>军优抚褒扬纪念股</w:t>
            </w:r>
          </w:p>
        </w:tc>
        <w:tc>
          <w:tcPr>
            <w:tcW w:w="6370"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1.立案责任：对依据监督检查职权或者通过举报、投诉、其他部门移送、上级部门交办等途径发现的违法行为线索，决定是否立案。</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4.告知责任：在作出处罚决定之前，应当告知当事人作出处罚决定的事由、理由及依据，并告知当事人依法享有的权利；当事人依法要求听证的，应组织听证。</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5.决定责任：依法应当给予行政处罚的，制作盖有行政机关印章的行政处罚决定书，载明违法事实、证据、处罚种类和依据、权利救济途径等内容。</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6.送达责任：行政处罚决定书在决定后七日内依照民事诉讼法的有关规定送达当事人。</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7.执行责任：督促当事人履行生效的行政处罚决定，对逾期不履行的，依照《行政强制法》的规定执行。</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8.法律法规规章文件规定应履行的其他责任。</w:t>
            </w:r>
          </w:p>
        </w:tc>
        <w:tc>
          <w:tcPr>
            <w:tcW w:w="733"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《行政处罚法》第十五、三十一、三十七、三十八、三十九、四十、四十二条。</w:t>
            </w:r>
          </w:p>
        </w:tc>
        <w:tc>
          <w:tcPr>
            <w:tcW w:w="553"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科室负责人、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317" w:hRule="atLeast"/>
        </w:trPr>
        <w:tc>
          <w:tcPr>
            <w:tcW w:w="511" w:type="dxa"/>
            <w:tcBorders>
              <w:top w:val="nil"/>
              <w:left w:val="single" w:color="000000" w:sz="6" w:space="0"/>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  3 </w:t>
            </w:r>
          </w:p>
        </w:tc>
        <w:tc>
          <w:tcPr>
            <w:tcW w:w="731"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对负有烈士遗属优待义务的单位不履行优待义务的处罚</w:t>
            </w:r>
          </w:p>
        </w:tc>
        <w:tc>
          <w:tcPr>
            <w:tcW w:w="2550"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《烈士褒扬条例》（2019年修正）第三十五条  负有烈士遗属优待义务的单位不履行优待义务的，由县级人民政府退役军人事务部门责令限期改正；逾期不改正的，处2000元以上1万元以下的罚款；属于国有或者国有控股企业、财政拨款的事业单位的，对直接负责的主管人员和其他直接责任人员依法给予处分。</w:t>
            </w:r>
          </w:p>
        </w:tc>
        <w:tc>
          <w:tcPr>
            <w:tcW w:w="585"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bdr w:val="none" w:color="auto" w:sz="0" w:space="0"/>
              </w:rPr>
            </w:pPr>
            <w:r>
              <w:rPr>
                <w:rFonts w:hint="eastAsia" w:ascii="仿宋" w:hAnsi="仿宋" w:eastAsia="仿宋" w:cs="仿宋"/>
                <w:b w:val="0"/>
                <w:bCs/>
                <w:sz w:val="24"/>
                <w:szCs w:val="24"/>
              </w:rPr>
              <w:t>行政处罚</w:t>
            </w:r>
          </w:p>
        </w:tc>
        <w:tc>
          <w:tcPr>
            <w:tcW w:w="885"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bdr w:val="none" w:color="auto" w:sz="0" w:space="0"/>
              </w:rPr>
            </w:pPr>
            <w:r>
              <w:rPr>
                <w:rFonts w:hint="eastAsia" w:ascii="仿宋" w:hAnsi="仿宋" w:eastAsia="仿宋" w:cs="仿宋"/>
                <w:b w:val="0"/>
                <w:bCs/>
                <w:sz w:val="24"/>
                <w:szCs w:val="24"/>
              </w:rPr>
              <w:t>拥军优抚褒扬纪念股</w:t>
            </w:r>
          </w:p>
        </w:tc>
        <w:tc>
          <w:tcPr>
            <w:tcW w:w="6370"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1.立案责任：对依据监督检查职权或者通过举报、投诉、其他部门移送、上级部门交办等途径发现的违法行为线索，决定是否立案。</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4.告知责任：在作出处罚决定之前，应当告知当事人作出处罚决定的事由、理由及依据，并告知当事人依法享有的权利；当事人依法要求听证的，应组织听证。</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5.决定责任：依法应当给予行政处罚的，制作盖有行政机关印章的行政处罚决定书，载明违法事实、证据、处罚种类和依据、权利救济途径等内容。</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6.送达责任：行政处罚决定书在决定后七日内依照民事诉讼法的有关规定送达当事人。</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7.执行责任：督促当事人履行生效的行政处罚决定，对逾期不履行的，依照《行政强制法》的规定执行。</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8.法律法规规章文件规定应履行的其他责任。</w:t>
            </w:r>
          </w:p>
        </w:tc>
        <w:tc>
          <w:tcPr>
            <w:tcW w:w="733"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《行政处罚法》第十五、三十一、三十七、三十八、三十九、四十、四十二条。</w:t>
            </w:r>
          </w:p>
        </w:tc>
        <w:tc>
          <w:tcPr>
            <w:tcW w:w="553"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科室负责人、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202" w:hRule="atLeast"/>
        </w:trPr>
        <w:tc>
          <w:tcPr>
            <w:tcW w:w="511" w:type="dxa"/>
            <w:tcBorders>
              <w:top w:val="nil"/>
              <w:left w:val="single" w:color="000000" w:sz="6" w:space="0"/>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  4 </w:t>
            </w:r>
          </w:p>
        </w:tc>
        <w:tc>
          <w:tcPr>
            <w:tcW w:w="73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军人死亡抚恤金发放</w:t>
            </w:r>
          </w:p>
        </w:tc>
        <w:tc>
          <w:tcPr>
            <w:tcW w:w="2550"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40" w:lineRule="atLeast"/>
              <w:ind w:left="0" w:right="0" w:firstLine="360"/>
              <w:jc w:val="both"/>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《军人抚恤优待条例》（2019年修正）</w:t>
            </w:r>
            <w:bookmarkStart w:id="2" w:name="13"/>
            <w:r>
              <w:rPr>
                <w:rFonts w:hint="eastAsia" w:ascii="仿宋" w:hAnsi="仿宋" w:eastAsia="仿宋" w:cs="仿宋"/>
                <w:b w:val="0"/>
                <w:bCs/>
                <w:color w:val="222222"/>
                <w:sz w:val="24"/>
                <w:szCs w:val="24"/>
                <w:u w:val="none"/>
                <w:bdr w:val="none" w:color="auto" w:sz="0" w:space="0"/>
              </w:rPr>
              <w:t>第十三条</w:t>
            </w:r>
            <w:bookmarkEnd w:id="2"/>
            <w:r>
              <w:rPr>
                <w:rFonts w:hint="eastAsia" w:ascii="仿宋" w:hAnsi="仿宋" w:eastAsia="仿宋" w:cs="仿宋"/>
                <w:b w:val="0"/>
                <w:bCs/>
                <w:sz w:val="24"/>
                <w:szCs w:val="24"/>
                <w:bdr w:val="none" w:color="auto" w:sz="0" w:space="0"/>
              </w:rPr>
              <w:t>　现役军人死亡，根据其死亡性质和死亡时的月工资标准，由县级人民政府退役军人事务部门发给其遗属一次性抚恤金，标准是：烈士和因公牺牲的，为上一年度全国城镇居民人均可支配收入的20倍加本人40个月的工资；病故的，为上一年度全国城镇居民人均可支配收入的2倍加本人40个月的工资。月工资或者津贴低于排职少尉军官工资标准的，按照排职少尉军官工资标准计算。</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　　获得荣誉称号或者立功的烈士、因公牺牲军人、病故军人，其遗属在应当享受的一次性抚恤金的基础上，由县级人民政府退役军人事务部门按照下列比例增发一次性抚恤金：</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　　（一）获得中央军事委员会授予荣誉称号的，增发35％；</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　　（二）获得军队军区级单位授予荣誉称号的，增发30％；</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　　（三）立一等功的，增发25％；</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　　（四）立二等功的，增发15％；</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　　（五）立三等功的，增发5％。</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　　多次获得荣誉称号或者立功的烈士、因公牺牲军人、病故军人，其遗属由县级人民政府退役军人事务部门按照其中最高等级奖励的增发比例，增发一次性抚恤金。</w:t>
            </w:r>
          </w:p>
        </w:tc>
        <w:tc>
          <w:tcPr>
            <w:tcW w:w="585"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bdr w:val="none" w:color="auto" w:sz="0" w:space="0"/>
              </w:rPr>
            </w:pPr>
            <w:r>
              <w:rPr>
                <w:rFonts w:hint="eastAsia" w:ascii="仿宋" w:hAnsi="仿宋" w:eastAsia="仿宋" w:cs="仿宋"/>
                <w:b w:val="0"/>
                <w:bCs/>
                <w:sz w:val="24"/>
                <w:szCs w:val="24"/>
              </w:rPr>
              <w:t>行政给付</w:t>
            </w:r>
          </w:p>
        </w:tc>
        <w:tc>
          <w:tcPr>
            <w:tcW w:w="885"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bdr w:val="none" w:color="auto" w:sz="0" w:space="0"/>
              </w:rPr>
            </w:pPr>
            <w:r>
              <w:rPr>
                <w:rFonts w:hint="eastAsia" w:ascii="仿宋" w:hAnsi="仿宋" w:eastAsia="仿宋" w:cs="仿宋"/>
                <w:b w:val="0"/>
                <w:bCs/>
                <w:sz w:val="24"/>
                <w:szCs w:val="24"/>
              </w:rPr>
              <w:t>拥军优抚褒扬纪念股、规划财务</w:t>
            </w:r>
          </w:p>
        </w:tc>
        <w:tc>
          <w:tcPr>
            <w:tcW w:w="6370"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1.受理责任：公示法定应当提交的材料；一次性告知补正材料，依法受理或不予受理申请（不予受理的说明理由）。</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2.审查责任：对申请人提交的申请材料进行审查，提出审查意见。</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3.决定责任：作出给付的行政决定，依法送达。</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4.法律法规规章文件规定应履行的其他责任。</w:t>
            </w:r>
          </w:p>
        </w:tc>
        <w:tc>
          <w:tcPr>
            <w:tcW w:w="733"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《军人抚恤优待条例》第十三条　</w:t>
            </w:r>
          </w:p>
        </w:tc>
        <w:tc>
          <w:tcPr>
            <w:tcW w:w="553"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科室负责人、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511" w:type="dxa"/>
            <w:tcBorders>
              <w:top w:val="nil"/>
              <w:left w:val="single" w:color="000000" w:sz="6" w:space="0"/>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  5 </w:t>
            </w:r>
          </w:p>
        </w:tc>
        <w:tc>
          <w:tcPr>
            <w:tcW w:w="73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复员军人定期定量补助发放</w:t>
            </w:r>
          </w:p>
        </w:tc>
        <w:tc>
          <w:tcPr>
            <w:tcW w:w="2550"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《军人抚恤优待条例》（2019年修正）</w:t>
            </w:r>
            <w:bookmarkStart w:id="3" w:name="44"/>
            <w:r>
              <w:rPr>
                <w:rFonts w:hint="eastAsia" w:ascii="仿宋" w:hAnsi="仿宋" w:eastAsia="仿宋" w:cs="仿宋"/>
                <w:b w:val="0"/>
                <w:bCs/>
                <w:color w:val="222222"/>
                <w:sz w:val="24"/>
                <w:szCs w:val="24"/>
                <w:u w:val="none"/>
                <w:bdr w:val="none" w:color="auto" w:sz="0" w:space="0"/>
              </w:rPr>
              <w:t>第四十四条</w:t>
            </w:r>
            <w:bookmarkEnd w:id="3"/>
            <w:r>
              <w:rPr>
                <w:rFonts w:hint="eastAsia" w:ascii="仿宋" w:hAnsi="仿宋" w:eastAsia="仿宋" w:cs="仿宋"/>
                <w:b w:val="0"/>
                <w:bCs/>
                <w:sz w:val="24"/>
                <w:szCs w:val="24"/>
                <w:bdr w:val="none" w:color="auto" w:sz="0" w:space="0"/>
              </w:rPr>
              <w:t>　复员军人生活困难的，按照规定的条件，由当地人民政府退役军人事务部门给予定期定量补助，逐步改善其生活条件。</w:t>
            </w:r>
          </w:p>
        </w:tc>
        <w:tc>
          <w:tcPr>
            <w:tcW w:w="585"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bdr w:val="none" w:color="auto" w:sz="0" w:space="0"/>
              </w:rPr>
            </w:pPr>
            <w:r>
              <w:rPr>
                <w:rFonts w:hint="eastAsia" w:ascii="仿宋" w:hAnsi="仿宋" w:eastAsia="仿宋" w:cs="仿宋"/>
                <w:b w:val="0"/>
                <w:bCs/>
                <w:sz w:val="24"/>
                <w:szCs w:val="24"/>
              </w:rPr>
              <w:t>行政给付</w:t>
            </w:r>
          </w:p>
        </w:tc>
        <w:tc>
          <w:tcPr>
            <w:tcW w:w="885"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bdr w:val="none" w:color="auto" w:sz="0" w:space="0"/>
              </w:rPr>
            </w:pPr>
            <w:r>
              <w:rPr>
                <w:rFonts w:hint="eastAsia" w:ascii="仿宋" w:hAnsi="仿宋" w:eastAsia="仿宋" w:cs="仿宋"/>
                <w:b w:val="0"/>
                <w:bCs/>
                <w:sz w:val="24"/>
                <w:szCs w:val="24"/>
              </w:rPr>
              <w:t>拥军优抚褒扬纪念股、规划财务室</w:t>
            </w:r>
          </w:p>
        </w:tc>
        <w:tc>
          <w:tcPr>
            <w:tcW w:w="6370"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1.受理责任：公示法定应当提交的材料；一次性告知补正材料，依法受理或不予受理申请（不予受理的说明理由）。</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2.审查责任：对申请人提交的申请材料进行审查，提出审查意见。</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3.决定责任：作出给付的行政决定，依法送达。</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4.法律法规规章文件规定应履行的其他责任。</w:t>
            </w:r>
          </w:p>
        </w:tc>
        <w:tc>
          <w:tcPr>
            <w:tcW w:w="733"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《军人抚恤优待条例》第四十四条　　</w:t>
            </w:r>
          </w:p>
        </w:tc>
        <w:tc>
          <w:tcPr>
            <w:tcW w:w="553"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科室负责人、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 w:hRule="atLeast"/>
        </w:trPr>
        <w:tc>
          <w:tcPr>
            <w:tcW w:w="511" w:type="dxa"/>
            <w:tcBorders>
              <w:top w:val="nil"/>
              <w:left w:val="single" w:color="000000" w:sz="6" w:space="0"/>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  6 </w:t>
            </w:r>
          </w:p>
        </w:tc>
        <w:tc>
          <w:tcPr>
            <w:tcW w:w="73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残疾军人抚恤金</w:t>
            </w:r>
          </w:p>
        </w:tc>
        <w:tc>
          <w:tcPr>
            <w:tcW w:w="2550"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《军人抚恤优待条例》</w:t>
            </w:r>
            <w:r>
              <w:rPr>
                <w:rFonts w:hint="eastAsia" w:ascii="仿宋" w:hAnsi="仿宋" w:eastAsia="仿宋" w:cs="仿宋"/>
                <w:b w:val="0"/>
                <w:bCs/>
                <w:color w:val="000000" w:themeColor="text1"/>
                <w:sz w:val="24"/>
                <w:szCs w:val="24"/>
                <w:bdr w:val="none" w:color="auto" w:sz="0" w:space="0"/>
                <w14:textFill>
                  <w14:solidFill>
                    <w14:schemeClr w14:val="tx1"/>
                  </w14:solidFill>
                </w14:textFill>
              </w:rPr>
              <w:t>（2011年修正）</w:t>
            </w:r>
            <w:bookmarkStart w:id="4" w:name="26"/>
            <w:r>
              <w:rPr>
                <w:rFonts w:hint="eastAsia" w:ascii="仿宋" w:hAnsi="仿宋" w:eastAsia="仿宋" w:cs="仿宋"/>
                <w:b w:val="0"/>
                <w:bCs/>
                <w:color w:val="222222"/>
                <w:sz w:val="24"/>
                <w:szCs w:val="24"/>
                <w:u w:val="none"/>
                <w:bdr w:val="none" w:color="auto" w:sz="0" w:space="0"/>
              </w:rPr>
              <w:t>　第二十六条</w:t>
            </w:r>
            <w:bookmarkEnd w:id="4"/>
            <w:r>
              <w:rPr>
                <w:rFonts w:hint="eastAsia" w:ascii="仿宋" w:hAnsi="仿宋" w:eastAsia="仿宋" w:cs="仿宋"/>
                <w:b w:val="0"/>
                <w:bCs/>
                <w:sz w:val="24"/>
                <w:szCs w:val="24"/>
                <w:bdr w:val="none" w:color="auto" w:sz="0" w:space="0"/>
              </w:rPr>
              <w:t>　退出现役的残疾军人，按照残疾等级享受残疾抚恤金。残疾抚恤金由县级人民政府退役军人事务部门发给。</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　　因工作需要继续服现役的残疾军人，经军队军级以上单位批准，由所在部队按照规定发给残疾抚恤金。</w:t>
            </w:r>
          </w:p>
        </w:tc>
        <w:tc>
          <w:tcPr>
            <w:tcW w:w="585"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bdr w:val="none" w:color="auto" w:sz="0" w:space="0"/>
              </w:rPr>
            </w:pPr>
            <w:r>
              <w:rPr>
                <w:rFonts w:hint="eastAsia" w:ascii="仿宋" w:hAnsi="仿宋" w:eastAsia="仿宋" w:cs="仿宋"/>
                <w:b w:val="0"/>
                <w:bCs/>
                <w:sz w:val="24"/>
                <w:szCs w:val="24"/>
              </w:rPr>
              <w:t>行政给付</w:t>
            </w:r>
          </w:p>
        </w:tc>
        <w:tc>
          <w:tcPr>
            <w:tcW w:w="885"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bdr w:val="none" w:color="auto" w:sz="0" w:space="0"/>
              </w:rPr>
            </w:pPr>
            <w:r>
              <w:rPr>
                <w:rFonts w:hint="eastAsia" w:ascii="仿宋" w:hAnsi="仿宋" w:eastAsia="仿宋" w:cs="仿宋"/>
                <w:b w:val="0"/>
                <w:bCs/>
                <w:sz w:val="24"/>
                <w:szCs w:val="24"/>
              </w:rPr>
              <w:t>拥军优抚褒扬纪念股、规划财务室</w:t>
            </w:r>
          </w:p>
        </w:tc>
        <w:tc>
          <w:tcPr>
            <w:tcW w:w="6370"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1.受理责任：公示法定应当提交的材料；一次性告知补正材料，依法受理或不予受理申请（不予受理的说明理由）。</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2.审查责任：对申请人提交的申请材料进行审查，提出审查意见。</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3.决定责任：作出给付的行政决定，依法送达。</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4.法律法规规章文件规定应履行的其他责任。</w:t>
            </w:r>
          </w:p>
        </w:tc>
        <w:tc>
          <w:tcPr>
            <w:tcW w:w="733"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《军人抚恤优待条例》</w:t>
            </w:r>
            <w:r>
              <w:rPr>
                <w:rFonts w:hint="eastAsia" w:ascii="仿宋" w:hAnsi="仿宋" w:eastAsia="仿宋" w:cs="仿宋"/>
                <w:b w:val="0"/>
                <w:bCs/>
                <w:color w:val="000000" w:themeColor="text1"/>
                <w:sz w:val="24"/>
                <w:szCs w:val="24"/>
                <w:bdr w:val="none" w:color="auto" w:sz="0" w:space="0"/>
                <w:lang w:val="en-US" w:eastAsia="zh-CN"/>
                <w14:textFill>
                  <w14:solidFill>
                    <w14:schemeClr w14:val="tx1"/>
                  </w14:solidFill>
                </w14:textFill>
              </w:rPr>
              <w:t xml:space="preserve">                                                                                                                                                                                                                                                                                                                                                                                                                                                                                                                                                                                                                                                                                                                                                                                                                                                                                                                                                                                                                                                                                                                                                                                                                                                                                                                                                                                                                                                                                                                                                                                                                                                                                                                                                                                                                                                                                                                                                                                                                                                                                                                                                                                                                                                                                                                                                                                                                                                                                                                                                                                                                                                                                                                                          </w:t>
            </w:r>
            <w:bookmarkStart w:id="7" w:name="_GoBack"/>
            <w:bookmarkEnd w:id="7"/>
            <w:r>
              <w:rPr>
                <w:rFonts w:hint="eastAsia" w:ascii="仿宋" w:hAnsi="仿宋" w:eastAsia="仿宋" w:cs="仿宋"/>
                <w:b w:val="0"/>
                <w:bCs/>
                <w:color w:val="000000" w:themeColor="text1"/>
                <w:sz w:val="24"/>
                <w:szCs w:val="24"/>
                <w:bdr w:val="none" w:color="auto" w:sz="0" w:space="0"/>
                <w:lang w:val="en-US" w:eastAsia="zh-CN"/>
                <w14:textFill>
                  <w14:solidFill>
                    <w14:schemeClr w14:val="tx1"/>
                  </w14:solidFill>
                </w14:textFill>
              </w:rPr>
              <w:t xml:space="preserve"> </w:t>
            </w:r>
            <w:r>
              <w:rPr>
                <w:rFonts w:hint="eastAsia" w:ascii="仿宋" w:hAnsi="仿宋" w:eastAsia="仿宋" w:cs="仿宋"/>
                <w:b w:val="0"/>
                <w:bCs/>
                <w:color w:val="FF0000"/>
                <w:sz w:val="24"/>
                <w:szCs w:val="24"/>
                <w:bdr w:val="none" w:color="auto" w:sz="0" w:space="0"/>
              </w:rPr>
              <w:t>　</w:t>
            </w:r>
          </w:p>
        </w:tc>
        <w:tc>
          <w:tcPr>
            <w:tcW w:w="553"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科室负责人、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 w:hRule="atLeast"/>
        </w:trPr>
        <w:tc>
          <w:tcPr>
            <w:tcW w:w="511" w:type="dxa"/>
            <w:tcBorders>
              <w:top w:val="nil"/>
              <w:left w:val="single" w:color="000000" w:sz="6" w:space="0"/>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  7 </w:t>
            </w:r>
          </w:p>
        </w:tc>
        <w:tc>
          <w:tcPr>
            <w:tcW w:w="73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烈士家属祭奠费的给付</w:t>
            </w:r>
          </w:p>
        </w:tc>
        <w:tc>
          <w:tcPr>
            <w:tcW w:w="2550"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《烈士褒扬条例》</w:t>
            </w:r>
            <w:bookmarkStart w:id="5" w:name="31"/>
            <w:r>
              <w:rPr>
                <w:rFonts w:hint="eastAsia" w:ascii="仿宋" w:hAnsi="仿宋" w:eastAsia="仿宋" w:cs="仿宋"/>
                <w:b w:val="0"/>
                <w:bCs/>
                <w:color w:val="222222"/>
                <w:sz w:val="24"/>
                <w:szCs w:val="24"/>
                <w:u w:val="none"/>
                <w:bdr w:val="none" w:color="auto" w:sz="0" w:space="0"/>
              </w:rPr>
              <w:t>（</w:t>
            </w:r>
            <w:bookmarkEnd w:id="5"/>
            <w:r>
              <w:rPr>
                <w:rFonts w:hint="eastAsia" w:ascii="仿宋" w:hAnsi="仿宋" w:eastAsia="仿宋" w:cs="仿宋"/>
                <w:b w:val="0"/>
                <w:bCs/>
                <w:sz w:val="24"/>
                <w:szCs w:val="24"/>
                <w:bdr w:val="none" w:color="auto" w:sz="0" w:space="0"/>
              </w:rPr>
              <w:t>2019年修正）第三十一条　烈士陵园所在地人民政府退役军人事务部门对前来烈士陵园祭扫的烈士遗属，应当做好接待服务工作；对自行前来祭扫经济上确有困难的，给予适当补助。</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　　烈士遗属户口所在地人民政府退役军人事务部门组织烈士遗属前往烈士陵园祭扫的，应当妥善安排，确保安全。</w:t>
            </w:r>
          </w:p>
        </w:tc>
        <w:tc>
          <w:tcPr>
            <w:tcW w:w="585"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bdr w:val="none" w:color="auto" w:sz="0" w:space="0"/>
              </w:rPr>
            </w:pPr>
            <w:r>
              <w:rPr>
                <w:rFonts w:hint="eastAsia" w:ascii="仿宋" w:hAnsi="仿宋" w:eastAsia="仿宋" w:cs="仿宋"/>
                <w:b w:val="0"/>
                <w:bCs/>
                <w:sz w:val="24"/>
                <w:szCs w:val="24"/>
              </w:rPr>
              <w:t>行政给付</w:t>
            </w:r>
          </w:p>
        </w:tc>
        <w:tc>
          <w:tcPr>
            <w:tcW w:w="885"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bdr w:val="none" w:color="auto" w:sz="0" w:space="0"/>
              </w:rPr>
            </w:pPr>
            <w:r>
              <w:rPr>
                <w:rFonts w:hint="eastAsia" w:ascii="仿宋" w:hAnsi="仿宋" w:eastAsia="仿宋" w:cs="仿宋"/>
                <w:b w:val="0"/>
                <w:bCs/>
                <w:sz w:val="24"/>
                <w:szCs w:val="24"/>
              </w:rPr>
              <w:t>拥军优抚褒扬纪念股、规划财务室</w:t>
            </w:r>
          </w:p>
        </w:tc>
        <w:tc>
          <w:tcPr>
            <w:tcW w:w="6370"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1.受理责任：公示法定应当提交的材料；一次性告知补正材料，依法受理或不予受理申请（不予受理的说明理由）。</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2.审查责任：对申请人提交的申请材料进行审查，提出审查意见。</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3.决定责任：作出给付的行政决定，依法送达。</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4.法律法规规章文件规定应履行的其他责任。</w:t>
            </w:r>
          </w:p>
        </w:tc>
        <w:tc>
          <w:tcPr>
            <w:tcW w:w="733"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《烈士褒扬条例》第三十一条</w:t>
            </w:r>
          </w:p>
        </w:tc>
        <w:tc>
          <w:tcPr>
            <w:tcW w:w="553"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科室负责人、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 w:hRule="atLeast"/>
        </w:trPr>
        <w:tc>
          <w:tcPr>
            <w:tcW w:w="511" w:type="dxa"/>
            <w:tcBorders>
              <w:top w:val="nil"/>
              <w:left w:val="single" w:color="000000" w:sz="6" w:space="0"/>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  8 </w:t>
            </w:r>
          </w:p>
        </w:tc>
        <w:tc>
          <w:tcPr>
            <w:tcW w:w="73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烈士评定申请材料审查</w:t>
            </w:r>
          </w:p>
        </w:tc>
        <w:tc>
          <w:tcPr>
            <w:tcW w:w="2550"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《烈士褒扬条例》</w:t>
            </w:r>
            <w:bookmarkStart w:id="6" w:name="9"/>
            <w:r>
              <w:rPr>
                <w:rFonts w:hint="eastAsia" w:ascii="仿宋" w:hAnsi="仿宋" w:eastAsia="仿宋" w:cs="仿宋"/>
                <w:b w:val="0"/>
                <w:bCs/>
                <w:color w:val="222222"/>
                <w:sz w:val="24"/>
                <w:szCs w:val="24"/>
                <w:u w:val="none"/>
                <w:bdr w:val="none" w:color="auto" w:sz="0" w:space="0"/>
              </w:rPr>
              <w:t>（</w:t>
            </w:r>
            <w:bookmarkEnd w:id="6"/>
            <w:r>
              <w:rPr>
                <w:rFonts w:hint="eastAsia" w:ascii="仿宋" w:hAnsi="仿宋" w:eastAsia="仿宋" w:cs="仿宋"/>
                <w:b w:val="0"/>
                <w:bCs/>
                <w:sz w:val="24"/>
                <w:szCs w:val="24"/>
                <w:bdr w:val="none" w:color="auto" w:sz="0" w:space="0"/>
              </w:rPr>
              <w:t>2019年修正）第九条　申报烈士的，由死者生前所在工作单位、死者遗属或者事件发生地的组织、公民向死者生前工作单位所在地、死者遗属户口所在地或者事件发生地的县级人民政府退役军人事务部门提供有关死者牺牲情节的材料，由收到材料的县级人民政府退役军人事务部门调查核实后提出评定烈士的报告，报本级人民政府审核。</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　　属于本条例第八条第一款第一项、第二项规定情形的，由县级人民政府提出评定烈士的报告并逐级上报至省、自治区、直辖市人民政府审查评定。评定为烈士的，由省、自治区、直辖市人民政府送国务院退役军人事务部门备案。</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　　属于本条例第八条第一款第三项、第四项规定情形的，由国务院有关部门提出评定烈士的报告，送国务院退役军人事务部门审查评定。</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　　属于本条例第八条第一款第五项规定情形的，由县级人民政府提出评定烈士的报告并逐级上报至省、自治区、直辖市人民政府，由省、自治区、直辖市人民政府审查后送国务院退役军人事务部门审查评定。</w:t>
            </w:r>
          </w:p>
        </w:tc>
        <w:tc>
          <w:tcPr>
            <w:tcW w:w="585"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bdr w:val="none" w:color="auto" w:sz="0" w:space="0"/>
              </w:rPr>
            </w:pPr>
            <w:r>
              <w:rPr>
                <w:rFonts w:hint="eastAsia" w:ascii="仿宋" w:hAnsi="仿宋" w:eastAsia="仿宋" w:cs="仿宋"/>
                <w:b w:val="0"/>
                <w:bCs/>
                <w:sz w:val="24"/>
                <w:szCs w:val="24"/>
              </w:rPr>
              <w:t>其他类</w:t>
            </w:r>
          </w:p>
        </w:tc>
        <w:tc>
          <w:tcPr>
            <w:tcW w:w="885"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bdr w:val="none" w:color="auto" w:sz="0" w:space="0"/>
              </w:rPr>
            </w:pPr>
            <w:r>
              <w:rPr>
                <w:rFonts w:hint="eastAsia" w:ascii="仿宋" w:hAnsi="仿宋" w:eastAsia="仿宋" w:cs="仿宋"/>
                <w:b w:val="0"/>
                <w:bCs/>
                <w:sz w:val="24"/>
                <w:szCs w:val="24"/>
              </w:rPr>
              <w:t>拥军优抚褒扬纪念股</w:t>
            </w:r>
          </w:p>
        </w:tc>
        <w:tc>
          <w:tcPr>
            <w:tcW w:w="6370"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1.受理责任：公示法定应当提交的材料；一次性告知补正材料；依法受理或不予受理申请（不予受理的说明理由）。</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2.审查责任：对申请人提交的申请材料进行审查，提出审查意见。</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3.决定责任：在规定期限内作出书面决定（不予许可应说明理由）。</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4.送达责任：在规定期限内制定并向申请人送达法律证件。</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5.事中事后责任：建立健全事中事后监管措施，加强监管。</w:t>
            </w:r>
            <w:r>
              <w:rPr>
                <w:rFonts w:hint="eastAsia" w:ascii="仿宋" w:hAnsi="仿宋" w:eastAsia="仿宋" w:cs="仿宋"/>
                <w:b w:val="0"/>
                <w:bCs/>
                <w:sz w:val="24"/>
                <w:szCs w:val="24"/>
                <w:bdr w:val="none" w:color="auto" w:sz="0" w:space="0"/>
              </w:rPr>
              <w:br w:type="textWrapping"/>
            </w:r>
            <w:r>
              <w:rPr>
                <w:rFonts w:hint="eastAsia" w:ascii="仿宋" w:hAnsi="仿宋" w:eastAsia="仿宋" w:cs="仿宋"/>
                <w:b w:val="0"/>
                <w:bCs/>
                <w:sz w:val="24"/>
                <w:szCs w:val="24"/>
                <w:bdr w:val="none" w:color="auto" w:sz="0" w:space="0"/>
              </w:rPr>
              <w:t>6.法律法规规章文件规定应履行的其他责任。</w:t>
            </w:r>
          </w:p>
        </w:tc>
        <w:tc>
          <w:tcPr>
            <w:tcW w:w="733"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《烈士褒扬条例》第九条</w:t>
            </w:r>
          </w:p>
        </w:tc>
        <w:tc>
          <w:tcPr>
            <w:tcW w:w="553" w:type="dxa"/>
            <w:tcBorders>
              <w:top w:val="nil"/>
              <w:left w:val="nil"/>
              <w:bottom w:val="single" w:color="000000" w:sz="6" w:space="0"/>
              <w:right w:val="single" w:color="000000" w:sz="6" w:space="0"/>
            </w:tcBorders>
            <w:shd w:val="clear"/>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科室负责人、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rFonts w:hint="eastAsia" w:ascii="仿宋" w:hAnsi="仿宋" w:eastAsia="仿宋" w:cs="仿宋"/>
                <w:b w:val="0"/>
                <w:bCs/>
                <w:sz w:val="24"/>
                <w:szCs w:val="24"/>
              </w:rPr>
            </w:pPr>
            <w:r>
              <w:rPr>
                <w:rFonts w:hint="eastAsia" w:ascii="仿宋" w:hAnsi="仿宋" w:eastAsia="仿宋" w:cs="仿宋"/>
                <w:b w:val="0"/>
                <w:bCs/>
                <w:sz w:val="24"/>
                <w:szCs w:val="24"/>
                <w:bdr w:val="none" w:color="auto" w:sz="0" w:space="0"/>
              </w:rPr>
              <w:t>具体承办人</w:t>
            </w:r>
          </w:p>
        </w:tc>
      </w:tr>
    </w:tbl>
    <w:p>
      <w:pPr>
        <w:rPr>
          <w:rFonts w:hint="eastAsia" w:ascii="仿宋" w:hAnsi="仿宋" w:eastAsia="仿宋" w:cs="仿宋"/>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27A56"/>
    <w:rsid w:val="09BE089D"/>
    <w:rsid w:val="40775820"/>
    <w:rsid w:val="4A127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2021-10-09T03:12:00Z</dcterms:created>
  <dc:creator>Amorl</dc:creator>
  <cp:lastModifiedBy>Amorl</cp:lastModifiedBy>
  <cp:lastPrinted>2021-10-09T03:28:07Z</cp:lastPrinted>
  <dcterms:modified xsi:type="dcterms:W3CDTF">2021-10-09T06:37:04Z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