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59" w:firstLineChars="1100"/>
        <w:rPr>
          <w:rFonts w:hint="eastAsia" w:ascii="宋体" w:cs="宋体"/>
          <w:b/>
          <w:bCs/>
          <w:kern w:val="0"/>
          <w:sz w:val="44"/>
          <w:szCs w:val="44"/>
          <w:lang w:bidi="ar-SA"/>
        </w:rPr>
      </w:pPr>
      <w:r>
        <w:rPr>
          <w:rFonts w:hint="eastAsia" w:ascii="宋体" w:cs="宋体"/>
          <w:b/>
          <w:bCs/>
          <w:kern w:val="0"/>
          <w:sz w:val="44"/>
          <w:szCs w:val="44"/>
          <w:lang w:bidi="ar-SA"/>
        </w:rPr>
        <w:t>农业行政处罚案件信息公开表</w:t>
      </w:r>
    </w:p>
    <w:p>
      <w:pPr>
        <w:ind w:firstLine="2650" w:firstLineChars="1100"/>
        <w:rPr>
          <w:rFonts w:hint="eastAsia" w:ascii="宋体" w:cs="宋体"/>
          <w:b/>
          <w:bCs/>
          <w:kern w:val="0"/>
          <w:sz w:val="24"/>
          <w:szCs w:val="24"/>
          <w:lang w:bidi="ar-SA"/>
        </w:rPr>
      </w:pPr>
    </w:p>
    <w:tbl>
      <w:tblPr>
        <w:tblStyle w:val="3"/>
        <w:tblW w:w="148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079"/>
        <w:gridCol w:w="719"/>
        <w:gridCol w:w="1150"/>
        <w:gridCol w:w="979"/>
        <w:gridCol w:w="876"/>
        <w:gridCol w:w="3065"/>
        <w:gridCol w:w="3050"/>
        <w:gridCol w:w="1270"/>
        <w:gridCol w:w="1487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848" w:hRule="atLeast"/>
        </w:trPr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  <w:t>序号</w:t>
            </w:r>
          </w:p>
        </w:tc>
        <w:tc>
          <w:tcPr>
            <w:tcW w:w="10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  <w:t>行政处罚</w:t>
            </w: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  <w:t>决定案号</w:t>
            </w:r>
          </w:p>
        </w:tc>
        <w:tc>
          <w:tcPr>
            <w:tcW w:w="71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  <w:t>案件</w:t>
            </w: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  <w:t>名称</w:t>
            </w:r>
          </w:p>
        </w:tc>
        <w:tc>
          <w:tcPr>
            <w:tcW w:w="11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  <w:t>违法主体</w:t>
            </w: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  <w:t>名称或姓名</w:t>
            </w:r>
          </w:p>
        </w:tc>
        <w:tc>
          <w:tcPr>
            <w:tcW w:w="9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  <w:t>违法企业组织机构代码</w:t>
            </w:r>
          </w:p>
        </w:tc>
        <w:tc>
          <w:tcPr>
            <w:tcW w:w="8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  <w:t>法定</w:t>
            </w: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  <w:t>代表人</w:t>
            </w: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  <w:t>（负责人）</w:t>
            </w:r>
          </w:p>
        </w:tc>
        <w:tc>
          <w:tcPr>
            <w:tcW w:w="30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  <w:t>主  要</w:t>
            </w: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  <w:t>违法事实</w:t>
            </w:r>
          </w:p>
        </w:tc>
        <w:tc>
          <w:tcPr>
            <w:tcW w:w="30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  <w:t>行政处罚</w:t>
            </w: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  <w:t>种类和依据</w:t>
            </w:r>
          </w:p>
        </w:tc>
        <w:tc>
          <w:tcPr>
            <w:tcW w:w="12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  <w:t>行政处罚履行方式和期限</w:t>
            </w:r>
          </w:p>
        </w:tc>
        <w:tc>
          <w:tcPr>
            <w:tcW w:w="148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  <w:t>作出行政处罚的机关名称和日期</w:t>
            </w:r>
          </w:p>
        </w:tc>
        <w:tc>
          <w:tcPr>
            <w:tcW w:w="66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46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-SA"/>
              </w:rPr>
              <w:t>1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汨农（肥料）罚﹝201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﹞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号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5"/>
                <w:sz w:val="24"/>
                <w:szCs w:val="24"/>
              </w:rPr>
              <w:t>销售</w:t>
            </w:r>
            <w:r>
              <w:rPr>
                <w:rFonts w:hint="eastAsia" w:ascii="仿宋" w:hAnsi="仿宋" w:eastAsia="仿宋" w:cs="仿宋"/>
                <w:b w:val="0"/>
                <w:bCs w:val="0"/>
                <w:w w:val="95"/>
                <w:sz w:val="24"/>
                <w:szCs w:val="24"/>
                <w:lang w:eastAsia="zh-CN"/>
              </w:rPr>
              <w:t>的肥料产品</w:t>
            </w:r>
            <w:r>
              <w:rPr>
                <w:rFonts w:hint="eastAsia" w:ascii="仿宋" w:hAnsi="仿宋" w:eastAsia="仿宋" w:cs="仿宋"/>
                <w:b w:val="0"/>
                <w:bCs w:val="0"/>
                <w:w w:val="95"/>
                <w:sz w:val="24"/>
                <w:szCs w:val="24"/>
              </w:rPr>
              <w:t>有效成分或含量与登记批准内容不符</w:t>
            </w:r>
            <w:r>
              <w:rPr>
                <w:rFonts w:hint="eastAsia" w:ascii="仿宋" w:hAnsi="仿宋" w:eastAsia="仿宋" w:cs="仿宋"/>
                <w:b w:val="0"/>
                <w:bCs w:val="0"/>
                <w:w w:val="95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b w:val="0"/>
                <w:bCs w:val="0"/>
                <w:w w:val="95"/>
                <w:sz w:val="24"/>
                <w:szCs w:val="24"/>
              </w:rPr>
              <w:t>肥料案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高寒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92430681MA4LY2426J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高寒</w:t>
            </w:r>
          </w:p>
        </w:tc>
        <w:tc>
          <w:tcPr>
            <w:tcW w:w="3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2019年3月25日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本机关执法人员在汨罗市罗江镇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罗江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村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向葵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农资店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仓库检查时发现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外包装标注：总养分≥40%，N-P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O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subscript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-K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O 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-8-1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执行标准：GB15063-2009 净含量：25kg、生产商为：湖北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冠东肥业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有限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责任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公司/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湖北巴特旺化肥有限公司的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益广秀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”牌复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肥料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抽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取该批次样品；送相关检测机构检验。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年4月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日收到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黄冈大别山检测认证有限公司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编号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为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KW201902015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的检验报告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检验结论：该样品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GB∕T 15063-2009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及产品明示要求检验不合格。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该批次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2019、3、18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益广秀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”牌复合肥料是不合格产品。本机关于4月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日正式立案调查。通过询问调查，证实“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益广秀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”牌复合肥料是当事人销售给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向葵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050" w:type="dxa"/>
            <w:vAlign w:val="center"/>
          </w:tcPr>
          <w:p>
            <w:pPr>
              <w:spacing w:line="240" w:lineRule="auto"/>
              <w:ind w:firstLine="645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4"/>
                <w:sz w:val="24"/>
                <w:szCs w:val="24"/>
              </w:rPr>
              <w:t>违反了《中华人民共和国肥料登记管理办法》第二十三条第二款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肥料产品包装应有标签、说明书和产品质量检验合格证；标签和使用说明书应当使用中文，并符合下列要求：(二)标明肥料登记证号、产品标准号、有效成分名称和含量、净重、生产日期及质量保证期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4"/>
                <w:sz w:val="24"/>
                <w:szCs w:val="24"/>
              </w:rPr>
              <w:t>之规定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4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参照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湖南省农业行政处罚自由裁量权适用规定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第三章 《肥料登记管理办法》</w:t>
            </w:r>
            <w:r>
              <w:rPr>
                <w:rStyle w:val="6"/>
                <w:rFonts w:hint="eastAsia" w:ascii="仿宋" w:hAnsi="仿宋" w:eastAsia="仿宋" w:cs="仿宋"/>
                <w:color w:val="000000"/>
                <w:sz w:val="24"/>
                <w:szCs w:val="24"/>
              </w:rPr>
              <w:t>第四十三条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第三款第二项，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依据《中华人民共和国行政处罚法》第二十七条、《中华人民共和国肥料登记管理办法》第二十七条第（三）款之规定，本机关作出如下处罚决定：1、警告；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2、处以人民币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000元的罚款。</w:t>
            </w:r>
          </w:p>
          <w:p>
            <w:pPr>
              <w:spacing w:line="380" w:lineRule="exact"/>
              <w:ind w:lef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高寒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shd w:val="clear" w:color="auto" w:fill="FFFFFF"/>
              </w:rPr>
              <w:t>201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日将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shd w:val="clear" w:color="auto" w:fill="FFFFFF"/>
              </w:rPr>
              <w:t>000元罚没款交到汨罗市非税收入征收管理局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汨罗市农业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局于201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日作出的行政处罚</w:t>
            </w:r>
          </w:p>
          <w:p>
            <w:pPr>
              <w:spacing w:line="560" w:lineRule="exact"/>
              <w:ind w:left="210" w:leftChars="100" w:firstLine="4080" w:firstLineChars="17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 w:bidi="ar-SA"/>
              </w:rPr>
              <w:t>当事人于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5月16日收到处罚决定书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46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汨农（肥料）罚﹝201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﹞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号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 w:val="0"/>
                <w:bCs w:val="0"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5"/>
                <w:sz w:val="24"/>
                <w:szCs w:val="24"/>
              </w:rPr>
              <w:t>销售</w:t>
            </w:r>
            <w:r>
              <w:rPr>
                <w:rFonts w:hint="eastAsia" w:ascii="仿宋" w:hAnsi="仿宋" w:eastAsia="仿宋" w:cs="仿宋"/>
                <w:b w:val="0"/>
                <w:bCs w:val="0"/>
                <w:w w:val="95"/>
                <w:sz w:val="24"/>
                <w:szCs w:val="24"/>
                <w:lang w:eastAsia="zh-CN"/>
              </w:rPr>
              <w:t>的肥料产品</w:t>
            </w:r>
            <w:r>
              <w:rPr>
                <w:rFonts w:hint="eastAsia" w:ascii="仿宋" w:hAnsi="仿宋" w:eastAsia="仿宋" w:cs="仿宋"/>
                <w:b w:val="0"/>
                <w:bCs w:val="0"/>
                <w:w w:val="95"/>
                <w:sz w:val="24"/>
                <w:szCs w:val="24"/>
              </w:rPr>
              <w:t>有效成分或含量与登记批准内容不符</w:t>
            </w:r>
            <w:r>
              <w:rPr>
                <w:rFonts w:hint="eastAsia" w:ascii="仿宋" w:hAnsi="仿宋" w:eastAsia="仿宋" w:cs="仿宋"/>
                <w:b w:val="0"/>
                <w:bCs w:val="0"/>
                <w:w w:val="95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b w:val="0"/>
                <w:bCs w:val="0"/>
                <w:w w:val="95"/>
                <w:sz w:val="24"/>
                <w:szCs w:val="24"/>
              </w:rPr>
              <w:t>肥料案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汨罗市惠建农资经营部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92430681MA4MFAA661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周四清</w:t>
            </w:r>
          </w:p>
        </w:tc>
        <w:tc>
          <w:tcPr>
            <w:tcW w:w="3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2019年3月28日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本机关执法人员在汨罗市罗江镇</w:t>
            </w:r>
            <w:r>
              <w:rPr>
                <w:rFonts w:hint="eastAsia" w:ascii="仿宋" w:hAnsi="仿宋" w:eastAsia="仿宋" w:cs="仿宋"/>
                <w:spacing w:val="-12"/>
                <w:w w:val="100"/>
                <w:sz w:val="24"/>
                <w:szCs w:val="24"/>
                <w:lang w:eastAsia="zh-CN"/>
              </w:rPr>
              <w:t>翁桥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翁四清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农资店门市部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检查时发现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外包装标注：总养分≥40%，N-P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O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-K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O 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-8-1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执行标准：GB15063-2009 净含量：25kg、生产商为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大连力诺化学品有限公司的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佳米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”牌复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肥料。抽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取该批次样品；送相关检测机构检验。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年4月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日收到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黄冈大别山检测认证有限公司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KW201902019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的检验报告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检验结论：该样品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GB∕T 15063-2009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及产品明示要求检验不合格。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该批次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2018、12、08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佳米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”牌复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肥料是不合格产品。本机关于4月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日正式立案调查。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通过询问调查，证实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佳米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”牌复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肥料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是当事人销售给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翁四清。</w:t>
            </w:r>
          </w:p>
        </w:tc>
        <w:tc>
          <w:tcPr>
            <w:tcW w:w="3050" w:type="dxa"/>
            <w:vAlign w:val="center"/>
          </w:tcPr>
          <w:p>
            <w:pPr>
              <w:spacing w:line="240" w:lineRule="auto"/>
              <w:ind w:firstLine="645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4"/>
                <w:sz w:val="24"/>
                <w:szCs w:val="24"/>
              </w:rPr>
              <w:t>违反了《中华人民共和国肥料登记管理办法》第二十三条第二款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肥料产品包装应有标签、说明书和产品质量检验合格证；标签和使用说明书应当使用中文，并符合下列要求：(二)标明肥料登记证号、产品标准号、有效成分名称和含量、净重、生产日期及质量保证期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4"/>
                <w:sz w:val="24"/>
                <w:szCs w:val="24"/>
              </w:rPr>
              <w:t>之规定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4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参照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湖南省农业行政处罚自由裁量权适用规定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第三章 《肥料登记管理办法》</w:t>
            </w:r>
            <w:r>
              <w:rPr>
                <w:rStyle w:val="6"/>
                <w:rFonts w:hint="eastAsia" w:ascii="仿宋" w:hAnsi="仿宋" w:eastAsia="仿宋" w:cs="仿宋"/>
                <w:color w:val="000000"/>
                <w:sz w:val="24"/>
                <w:szCs w:val="24"/>
              </w:rPr>
              <w:t>第四十三条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第三款第二项，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依据《中华人民共和国行政处罚法》第二十七条、《中华人民共和国肥料登记管理办法》第二十七条第（三）款之规定，本机关作出如下处罚决定：1、警告；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2、处以人民币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000元的罚款。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周四清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shd w:val="clear" w:color="auto" w:fill="FFFFFF"/>
              </w:rPr>
              <w:t>201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日将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shd w:val="clear" w:color="auto" w:fill="FFFFFF"/>
              </w:rPr>
              <w:t>000元罚没款交到汨罗市非税收入征收管理局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汨罗市农业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局于201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日作出的行政处罚</w:t>
            </w:r>
          </w:p>
          <w:p>
            <w:pPr>
              <w:spacing w:line="560" w:lineRule="exact"/>
              <w:ind w:left="210" w:leftChars="100" w:firstLine="4080" w:firstLineChars="17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 w:bidi="ar-SA"/>
              </w:rPr>
              <w:t>当事人于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5月16日收到处罚决定书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46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汨农（肥料）罚﹝201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﹞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号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 w:val="0"/>
                <w:bCs w:val="0"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5"/>
                <w:sz w:val="24"/>
                <w:szCs w:val="24"/>
              </w:rPr>
              <w:t>销售</w:t>
            </w:r>
            <w:r>
              <w:rPr>
                <w:rFonts w:hint="eastAsia" w:ascii="仿宋" w:hAnsi="仿宋" w:eastAsia="仿宋" w:cs="仿宋"/>
                <w:b w:val="0"/>
                <w:bCs w:val="0"/>
                <w:w w:val="95"/>
                <w:sz w:val="24"/>
                <w:szCs w:val="24"/>
                <w:lang w:eastAsia="zh-CN"/>
              </w:rPr>
              <w:t>的肥料产品</w:t>
            </w:r>
            <w:r>
              <w:rPr>
                <w:rFonts w:hint="eastAsia" w:ascii="仿宋" w:hAnsi="仿宋" w:eastAsia="仿宋" w:cs="仿宋"/>
                <w:b w:val="0"/>
                <w:bCs w:val="0"/>
                <w:w w:val="95"/>
                <w:sz w:val="24"/>
                <w:szCs w:val="24"/>
              </w:rPr>
              <w:t>有效成分或含量与登记批准内容不符</w:t>
            </w:r>
            <w:r>
              <w:rPr>
                <w:rFonts w:hint="eastAsia" w:ascii="仿宋" w:hAnsi="仿宋" w:eastAsia="仿宋" w:cs="仿宋"/>
                <w:b w:val="0"/>
                <w:bCs w:val="0"/>
                <w:w w:val="95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b w:val="0"/>
                <w:bCs w:val="0"/>
                <w:w w:val="95"/>
                <w:sz w:val="24"/>
                <w:szCs w:val="24"/>
              </w:rPr>
              <w:t>肥料案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翁卫仁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92430681MA4LLF6W9J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翁卫仁</w:t>
            </w:r>
          </w:p>
        </w:tc>
        <w:tc>
          <w:tcPr>
            <w:tcW w:w="3065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2019年3月26日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本机关执法人员在汨罗市罗江镇</w:t>
            </w:r>
            <w:r>
              <w:rPr>
                <w:rFonts w:hint="eastAsia" w:ascii="仿宋" w:hAnsi="仿宋" w:eastAsia="仿宋" w:cs="仿宋"/>
                <w:spacing w:val="-12"/>
                <w:w w:val="100"/>
                <w:sz w:val="24"/>
                <w:szCs w:val="24"/>
                <w:lang w:eastAsia="zh-CN"/>
              </w:rPr>
              <w:t>红花山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村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  <w:t>郑红求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农资店门市部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检查时发现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外包装标注：总养分≥40%，N-P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O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-K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O 20-8-12 执行标准：GB15063-2009 净含量：25kg、生产商为：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阿波罗（连云港）化肥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有限公司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阿波罗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”牌复合肥料。抽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取该批次样品；送相关检测机构检验。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年4月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日收到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黄冈大别山检测认证有限公司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KW201902017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的检验报告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检验结论：该样品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GB∕T 15063-2009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及产品明示要求检验不合格。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该批次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2019、03、07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阿波罗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”牌复合肥料是不合格产品。本机关于4月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日正式立案调查。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通过询问调查，证实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阿波罗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”牌复合肥料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是当事人销售给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  <w:t>郑红求。</w:t>
            </w:r>
          </w:p>
        </w:tc>
        <w:tc>
          <w:tcPr>
            <w:tcW w:w="3050" w:type="dxa"/>
            <w:vAlign w:val="center"/>
          </w:tcPr>
          <w:p>
            <w:pPr>
              <w:spacing w:line="240" w:lineRule="auto"/>
              <w:ind w:firstLine="645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4"/>
                <w:sz w:val="24"/>
                <w:szCs w:val="24"/>
              </w:rPr>
              <w:t>违反了《中华人民共和国肥料登记管理办法》第二十三条第二款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肥料产品包装应有标签、说明书和产品质量检验合格证；标签和使用说明书应当使用中文，并符合下列要求：(二)标明肥料登记证号、产品标准号、有效成分名称和含量、净重、生产日期及质量保证期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4"/>
                <w:sz w:val="24"/>
                <w:szCs w:val="24"/>
              </w:rPr>
              <w:t>之规定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4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参照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湖南省农业行政处罚自由裁量权适用规定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第三章 《肥料登记管理办法》</w:t>
            </w:r>
            <w:r>
              <w:rPr>
                <w:rStyle w:val="6"/>
                <w:rFonts w:hint="eastAsia" w:ascii="仿宋" w:hAnsi="仿宋" w:eastAsia="仿宋" w:cs="仿宋"/>
                <w:color w:val="000000"/>
                <w:sz w:val="24"/>
                <w:szCs w:val="24"/>
              </w:rPr>
              <w:t>第四十三条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第三款第一项，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依据《中华人民共和国行政处罚法》第二十七条、《中华人民共和国肥料登记管理办法》第二十七条第（三）款之规定，本机关作出如下处罚决定：1、警告；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2、处以人民币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00元的罚款。</w:t>
            </w:r>
          </w:p>
          <w:p>
            <w:pPr>
              <w:spacing w:line="380" w:lineRule="exact"/>
              <w:ind w:lef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翁卫仁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shd w:val="clear" w:color="auto" w:fill="FFFFFF"/>
              </w:rPr>
              <w:t>201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日将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4"/>
                <w:szCs w:val="24"/>
                <w:shd w:val="clear" w:color="auto" w:fill="FFFFFF"/>
              </w:rPr>
              <w:t>00元罚没款交到汨罗市非税收入征收管理局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汨罗市农业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局于201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日作出的行政处罚</w:t>
            </w:r>
          </w:p>
          <w:p>
            <w:pPr>
              <w:spacing w:line="560" w:lineRule="exact"/>
              <w:ind w:left="210" w:leftChars="100" w:firstLine="4080" w:firstLineChars="17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 w:bidi="ar-SA"/>
              </w:rPr>
              <w:t>当事人于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5月16日收到处罚决定书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26B4E"/>
    <w:rsid w:val="1F3E16D9"/>
    <w:rsid w:val="22F40502"/>
    <w:rsid w:val="24053C61"/>
    <w:rsid w:val="35ED1FF0"/>
    <w:rsid w:val="397366BE"/>
    <w:rsid w:val="3EE777A2"/>
    <w:rsid w:val="48745D2A"/>
    <w:rsid w:val="4E083B16"/>
    <w:rsid w:val="5E826B4E"/>
    <w:rsid w:val="6532783D"/>
    <w:rsid w:val="66655DB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0"/>
    <w:pPr>
      <w:outlineLvl w:val="1"/>
    </w:pPr>
    <w:rPr>
      <w:rFonts w:eastAsia="黑体"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 Char Char12"/>
    <w:basedOn w:val="4"/>
    <w:link w:val="2"/>
    <w:qFormat/>
    <w:uiPriority w:val="0"/>
    <w:rPr>
      <w:rFonts w:eastAsia="黑体"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2018-07-18T07:03:00Z</dcterms:created>
  <dc:creator>Administrator</dc:creator>
  <cp:lastModifiedBy>Administrator</cp:lastModifiedBy>
  <dcterms:modified xsi:type="dcterms:W3CDTF">2019-06-21T07:20:55Z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